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18" w:rsidRPr="00905C15" w:rsidRDefault="00185340">
      <w:pPr>
        <w:rPr>
          <w:b/>
          <w:sz w:val="32"/>
          <w:szCs w:val="32"/>
        </w:rPr>
      </w:pPr>
      <w:r w:rsidRPr="00905C15">
        <w:rPr>
          <w:b/>
          <w:sz w:val="32"/>
          <w:szCs w:val="32"/>
        </w:rPr>
        <w:t>#SayNoToSubCo – U</w:t>
      </w:r>
      <w:r w:rsidR="00D06818" w:rsidRPr="00905C15">
        <w:rPr>
          <w:b/>
          <w:sz w:val="32"/>
          <w:szCs w:val="32"/>
        </w:rPr>
        <w:t xml:space="preserve">sing </w:t>
      </w:r>
      <w:r w:rsidR="00FC2314" w:rsidRPr="00905C15">
        <w:rPr>
          <w:b/>
          <w:sz w:val="32"/>
          <w:szCs w:val="32"/>
        </w:rPr>
        <w:t>the new gu</w:t>
      </w:r>
      <w:r w:rsidR="00D06818" w:rsidRPr="00905C15">
        <w:rPr>
          <w:b/>
          <w:sz w:val="32"/>
          <w:szCs w:val="32"/>
        </w:rPr>
        <w:t>idance</w:t>
      </w:r>
    </w:p>
    <w:p w:rsidR="00D06818" w:rsidRPr="00905C15" w:rsidRDefault="00D06818">
      <w:pPr>
        <w:rPr>
          <w:sz w:val="24"/>
          <w:szCs w:val="24"/>
        </w:rPr>
      </w:pPr>
    </w:p>
    <w:p w:rsidR="0033236D" w:rsidRPr="00905C15" w:rsidRDefault="00D06818">
      <w:pPr>
        <w:rPr>
          <w:sz w:val="24"/>
          <w:szCs w:val="24"/>
        </w:rPr>
      </w:pPr>
      <w:r w:rsidRPr="00905C15">
        <w:rPr>
          <w:sz w:val="24"/>
          <w:szCs w:val="24"/>
        </w:rPr>
        <w:t xml:space="preserve">Following a short consultation period, NHS Improvement issued revised </w:t>
      </w:r>
      <w:hyperlink r:id="rId7" w:history="1">
        <w:r w:rsidRPr="00905C15">
          <w:rPr>
            <w:rStyle w:val="Hyperlink"/>
            <w:sz w:val="24"/>
            <w:szCs w:val="24"/>
          </w:rPr>
          <w:t>guidance</w:t>
        </w:r>
      </w:hyperlink>
      <w:r w:rsidRPr="00905C15">
        <w:rPr>
          <w:sz w:val="24"/>
          <w:szCs w:val="24"/>
        </w:rPr>
        <w:t xml:space="preserve"> for trusts looking to set up subsidiary companies in November 2018.</w:t>
      </w:r>
    </w:p>
    <w:p w:rsidR="001F3E6C" w:rsidRDefault="001F3E6C" w:rsidP="001F3E6C">
      <w:pPr>
        <w:rPr>
          <w:sz w:val="24"/>
          <w:szCs w:val="24"/>
        </w:rPr>
      </w:pPr>
    </w:p>
    <w:p w:rsidR="001F3E6C" w:rsidRPr="00905C15" w:rsidRDefault="001F3E6C" w:rsidP="001F3E6C">
      <w:pPr>
        <w:rPr>
          <w:sz w:val="24"/>
          <w:szCs w:val="24"/>
        </w:rPr>
      </w:pPr>
      <w:r w:rsidRPr="00905C15">
        <w:rPr>
          <w:sz w:val="24"/>
          <w:szCs w:val="24"/>
        </w:rPr>
        <w:t>The guidance mean</w:t>
      </w:r>
      <w:r>
        <w:rPr>
          <w:sz w:val="24"/>
          <w:szCs w:val="24"/>
        </w:rPr>
        <w:t>s</w:t>
      </w:r>
      <w:r w:rsidRPr="00905C15">
        <w:rPr>
          <w:sz w:val="24"/>
          <w:szCs w:val="24"/>
        </w:rPr>
        <w:t xml:space="preserve"> that </w:t>
      </w:r>
      <w:r>
        <w:rPr>
          <w:sz w:val="24"/>
          <w:szCs w:val="24"/>
        </w:rPr>
        <w:t xml:space="preserve">all </w:t>
      </w:r>
      <w:r w:rsidRPr="00905C15">
        <w:rPr>
          <w:sz w:val="24"/>
          <w:szCs w:val="24"/>
        </w:rPr>
        <w:t xml:space="preserve">plans for </w:t>
      </w:r>
      <w:r>
        <w:rPr>
          <w:sz w:val="24"/>
          <w:szCs w:val="24"/>
        </w:rPr>
        <w:t xml:space="preserve">new </w:t>
      </w:r>
      <w:r w:rsidRPr="00905C15">
        <w:rPr>
          <w:sz w:val="24"/>
          <w:szCs w:val="24"/>
        </w:rPr>
        <w:t>subsidiaries have to</w:t>
      </w:r>
      <w:r>
        <w:rPr>
          <w:sz w:val="24"/>
          <w:szCs w:val="24"/>
        </w:rPr>
        <w:t xml:space="preserve"> be reported to NHS Improvement – </w:t>
      </w:r>
      <w:r w:rsidRPr="00905C15">
        <w:rPr>
          <w:sz w:val="24"/>
          <w:szCs w:val="24"/>
        </w:rPr>
        <w:t>where they will be scrutinised firstly by a panel and then potentially as</w:t>
      </w:r>
      <w:r>
        <w:rPr>
          <w:sz w:val="24"/>
          <w:szCs w:val="24"/>
        </w:rPr>
        <w:t xml:space="preserve"> part of a more detailed review –</w:t>
      </w:r>
      <w:r w:rsidRPr="00905C15">
        <w:rPr>
          <w:sz w:val="24"/>
          <w:szCs w:val="24"/>
        </w:rPr>
        <w:t xml:space="preserve"> along with any “material” changes to an existing subsidiary. </w:t>
      </w:r>
    </w:p>
    <w:p w:rsidR="001F3E6C" w:rsidRPr="00905C15" w:rsidRDefault="001F3E6C">
      <w:pPr>
        <w:rPr>
          <w:sz w:val="24"/>
          <w:szCs w:val="24"/>
        </w:rPr>
      </w:pPr>
    </w:p>
    <w:p w:rsidR="00D06818" w:rsidRPr="00905C15" w:rsidRDefault="00D06818">
      <w:pPr>
        <w:rPr>
          <w:sz w:val="24"/>
          <w:szCs w:val="24"/>
        </w:rPr>
      </w:pPr>
      <w:r w:rsidRPr="00905C15">
        <w:rPr>
          <w:sz w:val="24"/>
          <w:szCs w:val="24"/>
        </w:rPr>
        <w:t xml:space="preserve">The guidance </w:t>
      </w:r>
      <w:r w:rsidR="00B047F5">
        <w:rPr>
          <w:sz w:val="24"/>
          <w:szCs w:val="24"/>
        </w:rPr>
        <w:t>does</w:t>
      </w:r>
      <w:r w:rsidRPr="00905C15">
        <w:rPr>
          <w:sz w:val="24"/>
          <w:szCs w:val="24"/>
        </w:rPr>
        <w:t xml:space="preserve"> not go as far as UNISON wanted; for instance, it does not insist on trusts demonstrating staff approval</w:t>
      </w:r>
      <w:r w:rsidR="00234538">
        <w:rPr>
          <w:sz w:val="24"/>
          <w:szCs w:val="24"/>
        </w:rPr>
        <w:t xml:space="preserve"> before setting up a subsidiary and</w:t>
      </w:r>
      <w:r w:rsidRPr="00905C15">
        <w:rPr>
          <w:sz w:val="24"/>
          <w:szCs w:val="24"/>
        </w:rPr>
        <w:t xml:space="preserve"> it does not require trusts to m</w:t>
      </w:r>
      <w:r w:rsidR="00234538">
        <w:rPr>
          <w:sz w:val="24"/>
          <w:szCs w:val="24"/>
        </w:rPr>
        <w:t>ake their business cases public</w:t>
      </w:r>
      <w:r w:rsidRPr="00905C15">
        <w:rPr>
          <w:sz w:val="24"/>
          <w:szCs w:val="24"/>
        </w:rPr>
        <w:t>.</w:t>
      </w:r>
    </w:p>
    <w:p w:rsidR="00D06818" w:rsidRDefault="00D06818">
      <w:pPr>
        <w:rPr>
          <w:sz w:val="24"/>
          <w:szCs w:val="24"/>
        </w:rPr>
      </w:pPr>
    </w:p>
    <w:p w:rsidR="00B047F5" w:rsidRDefault="00B047F5">
      <w:pPr>
        <w:rPr>
          <w:sz w:val="24"/>
          <w:szCs w:val="24"/>
        </w:rPr>
      </w:pPr>
      <w:r>
        <w:rPr>
          <w:sz w:val="24"/>
          <w:szCs w:val="24"/>
        </w:rPr>
        <w:t xml:space="preserve">More importantly, since being published it has become increasingly clear that the way the guidance is enforced means that many of the same problems </w:t>
      </w:r>
      <w:r w:rsidR="001F3E6C">
        <w:rPr>
          <w:sz w:val="24"/>
          <w:szCs w:val="24"/>
        </w:rPr>
        <w:t xml:space="preserve">remain </w:t>
      </w:r>
      <w:r>
        <w:rPr>
          <w:sz w:val="24"/>
          <w:szCs w:val="24"/>
        </w:rPr>
        <w:t xml:space="preserve">with </w:t>
      </w:r>
      <w:r w:rsidR="001F3E6C">
        <w:rPr>
          <w:sz w:val="24"/>
          <w:szCs w:val="24"/>
        </w:rPr>
        <w:t xml:space="preserve">the way that </w:t>
      </w:r>
      <w:r>
        <w:rPr>
          <w:sz w:val="24"/>
          <w:szCs w:val="24"/>
        </w:rPr>
        <w:t>subcos</w:t>
      </w:r>
      <w:r w:rsidR="001F3E6C">
        <w:rPr>
          <w:sz w:val="24"/>
          <w:szCs w:val="24"/>
        </w:rPr>
        <w:t xml:space="preserve"> are being established, such as a lack of meaningful engagement with staff and a failure to be transparent about business plans.</w:t>
      </w:r>
    </w:p>
    <w:p w:rsidR="00B047F5" w:rsidRDefault="00B047F5">
      <w:pPr>
        <w:rPr>
          <w:sz w:val="24"/>
          <w:szCs w:val="24"/>
        </w:rPr>
      </w:pPr>
    </w:p>
    <w:p w:rsidR="00234538" w:rsidRDefault="001F3E6C">
      <w:pPr>
        <w:rPr>
          <w:sz w:val="24"/>
          <w:szCs w:val="24"/>
        </w:rPr>
      </w:pPr>
      <w:r w:rsidRPr="00905C15">
        <w:rPr>
          <w:sz w:val="24"/>
          <w:szCs w:val="24"/>
        </w:rPr>
        <w:t xml:space="preserve">As an addition to the union’s wider political and industrial campaigning, </w:t>
      </w:r>
      <w:r w:rsidR="00B047F5">
        <w:rPr>
          <w:sz w:val="24"/>
          <w:szCs w:val="24"/>
        </w:rPr>
        <w:t xml:space="preserve">UNISON is continuing to keep up the pressure </w:t>
      </w:r>
      <w:r>
        <w:rPr>
          <w:sz w:val="24"/>
          <w:szCs w:val="24"/>
        </w:rPr>
        <w:t xml:space="preserve">with national NHS bodies </w:t>
      </w:r>
      <w:r w:rsidR="00B047F5">
        <w:rPr>
          <w:sz w:val="24"/>
          <w:szCs w:val="24"/>
        </w:rPr>
        <w:t xml:space="preserve">to make sure that the guidance is interpreted in the most robust way. </w:t>
      </w:r>
    </w:p>
    <w:p w:rsidR="00234538" w:rsidRDefault="00234538">
      <w:pPr>
        <w:rPr>
          <w:sz w:val="24"/>
          <w:szCs w:val="24"/>
        </w:rPr>
      </w:pPr>
    </w:p>
    <w:p w:rsidR="001F3E6C" w:rsidRDefault="00B047F5">
      <w:pPr>
        <w:rPr>
          <w:sz w:val="24"/>
          <w:szCs w:val="24"/>
        </w:rPr>
      </w:pPr>
      <w:r>
        <w:rPr>
          <w:sz w:val="24"/>
          <w:szCs w:val="24"/>
        </w:rPr>
        <w:t xml:space="preserve">In the meantime, branches can still refer to </w:t>
      </w:r>
      <w:r w:rsidR="001F3E6C">
        <w:rPr>
          <w:sz w:val="24"/>
          <w:szCs w:val="24"/>
        </w:rPr>
        <w:t>aspects of</w:t>
      </w:r>
      <w:r>
        <w:rPr>
          <w:sz w:val="24"/>
          <w:szCs w:val="24"/>
        </w:rPr>
        <w:t xml:space="preserve"> the guidance to strengthen arguments against the </w:t>
      </w:r>
      <w:r w:rsidR="001F3E6C">
        <w:rPr>
          <w:sz w:val="24"/>
          <w:szCs w:val="24"/>
        </w:rPr>
        <w:t>imposition</w:t>
      </w:r>
      <w:r>
        <w:rPr>
          <w:sz w:val="24"/>
          <w:szCs w:val="24"/>
        </w:rPr>
        <w:t xml:space="preserve"> of new subcos or </w:t>
      </w:r>
      <w:r w:rsidR="001F3E6C">
        <w:rPr>
          <w:sz w:val="24"/>
          <w:szCs w:val="24"/>
        </w:rPr>
        <w:t xml:space="preserve">dangerous </w:t>
      </w:r>
      <w:r>
        <w:rPr>
          <w:sz w:val="24"/>
          <w:szCs w:val="24"/>
        </w:rPr>
        <w:t>changes to existing ones.</w:t>
      </w:r>
      <w:r w:rsidR="001F3E6C">
        <w:rPr>
          <w:sz w:val="24"/>
          <w:szCs w:val="24"/>
        </w:rPr>
        <w:t xml:space="preserve"> </w:t>
      </w:r>
    </w:p>
    <w:p w:rsidR="001F3E6C" w:rsidRDefault="001F3E6C">
      <w:pPr>
        <w:rPr>
          <w:sz w:val="24"/>
          <w:szCs w:val="24"/>
        </w:rPr>
      </w:pPr>
    </w:p>
    <w:p w:rsidR="00A27879" w:rsidRPr="00905C15" w:rsidRDefault="001F3E6C">
      <w:pPr>
        <w:rPr>
          <w:sz w:val="24"/>
          <w:szCs w:val="24"/>
        </w:rPr>
      </w:pPr>
      <w:r>
        <w:rPr>
          <w:sz w:val="24"/>
          <w:szCs w:val="24"/>
        </w:rPr>
        <w:t>T</w:t>
      </w:r>
      <w:r w:rsidR="00D06818" w:rsidRPr="00905C15">
        <w:rPr>
          <w:sz w:val="24"/>
          <w:szCs w:val="24"/>
        </w:rPr>
        <w:t xml:space="preserve">he </w:t>
      </w:r>
      <w:r w:rsidR="0091745A" w:rsidRPr="00905C15">
        <w:rPr>
          <w:sz w:val="24"/>
          <w:szCs w:val="24"/>
        </w:rPr>
        <w:t>sections</w:t>
      </w:r>
      <w:r w:rsidR="00D06818" w:rsidRPr="00905C15">
        <w:rPr>
          <w:sz w:val="24"/>
          <w:szCs w:val="24"/>
        </w:rPr>
        <w:t xml:space="preserve"> below </w:t>
      </w:r>
      <w:r w:rsidR="0091745A" w:rsidRPr="00905C15">
        <w:rPr>
          <w:sz w:val="24"/>
          <w:szCs w:val="24"/>
        </w:rPr>
        <w:t>cover</w:t>
      </w:r>
      <w:r w:rsidR="00D06818" w:rsidRPr="00905C15">
        <w:rPr>
          <w:sz w:val="24"/>
          <w:szCs w:val="24"/>
        </w:rPr>
        <w:t xml:space="preserve"> some of the key </w:t>
      </w:r>
      <w:r w:rsidR="00712102" w:rsidRPr="00905C15">
        <w:rPr>
          <w:sz w:val="24"/>
          <w:szCs w:val="24"/>
        </w:rPr>
        <w:t>areas</w:t>
      </w:r>
      <w:r w:rsidR="00D06818" w:rsidRPr="00905C15">
        <w:rPr>
          <w:sz w:val="24"/>
          <w:szCs w:val="24"/>
        </w:rPr>
        <w:t xml:space="preserve"> </w:t>
      </w:r>
      <w:r w:rsidR="00712102" w:rsidRPr="00905C15">
        <w:rPr>
          <w:sz w:val="24"/>
          <w:szCs w:val="24"/>
        </w:rPr>
        <w:t xml:space="preserve">of the guidance </w:t>
      </w:r>
      <w:r w:rsidR="00945B3F" w:rsidRPr="00905C15">
        <w:rPr>
          <w:sz w:val="24"/>
          <w:szCs w:val="24"/>
        </w:rPr>
        <w:t xml:space="preserve">(with page references) </w:t>
      </w:r>
      <w:r w:rsidR="00D06818" w:rsidRPr="00905C15">
        <w:rPr>
          <w:sz w:val="24"/>
          <w:szCs w:val="24"/>
        </w:rPr>
        <w:t xml:space="preserve">that can be used to </w:t>
      </w:r>
      <w:r>
        <w:rPr>
          <w:sz w:val="24"/>
          <w:szCs w:val="24"/>
        </w:rPr>
        <w:t>argue that</w:t>
      </w:r>
      <w:r w:rsidR="00D06818" w:rsidRPr="00905C15">
        <w:rPr>
          <w:sz w:val="24"/>
          <w:szCs w:val="24"/>
        </w:rPr>
        <w:t xml:space="preserve"> trusts </w:t>
      </w:r>
      <w:r>
        <w:rPr>
          <w:sz w:val="24"/>
          <w:szCs w:val="24"/>
        </w:rPr>
        <w:t>should at least follow</w:t>
      </w:r>
      <w:r w:rsidR="00D06818" w:rsidRPr="00905C15">
        <w:rPr>
          <w:sz w:val="24"/>
          <w:szCs w:val="24"/>
        </w:rPr>
        <w:t xml:space="preserve"> </w:t>
      </w:r>
      <w:r>
        <w:rPr>
          <w:sz w:val="24"/>
          <w:szCs w:val="24"/>
        </w:rPr>
        <w:t>best practice</w:t>
      </w:r>
      <w:r w:rsidR="00A27879" w:rsidRPr="00905C15">
        <w:rPr>
          <w:sz w:val="24"/>
          <w:szCs w:val="24"/>
        </w:rPr>
        <w:t xml:space="preserve"> or</w:t>
      </w:r>
      <w:r>
        <w:rPr>
          <w:sz w:val="24"/>
          <w:szCs w:val="24"/>
        </w:rPr>
        <w:t>, ideally,</w:t>
      </w:r>
      <w:r w:rsidR="00A27879" w:rsidRPr="00905C15">
        <w:rPr>
          <w:sz w:val="24"/>
          <w:szCs w:val="24"/>
        </w:rPr>
        <w:t xml:space="preserve"> abandon plans</w:t>
      </w:r>
      <w:r w:rsidR="00B407A6">
        <w:rPr>
          <w:sz w:val="24"/>
          <w:szCs w:val="24"/>
        </w:rPr>
        <w:t xml:space="preserve"> altogether</w:t>
      </w:r>
      <w:r w:rsidR="00A27879" w:rsidRPr="00905C15">
        <w:rPr>
          <w:sz w:val="24"/>
          <w:szCs w:val="24"/>
        </w:rPr>
        <w:t xml:space="preserve">. </w:t>
      </w:r>
    </w:p>
    <w:p w:rsidR="00042447" w:rsidRDefault="00042447">
      <w:pPr>
        <w:rPr>
          <w:sz w:val="24"/>
          <w:szCs w:val="24"/>
        </w:rPr>
      </w:pPr>
    </w:p>
    <w:p w:rsidR="00B407A6" w:rsidRPr="00B407A6" w:rsidRDefault="00B407A6">
      <w:pPr>
        <w:rPr>
          <w:b/>
          <w:sz w:val="24"/>
          <w:szCs w:val="24"/>
        </w:rPr>
      </w:pPr>
      <w:r w:rsidRPr="00B407A6">
        <w:rPr>
          <w:b/>
          <w:sz w:val="24"/>
          <w:szCs w:val="24"/>
        </w:rPr>
        <w:t>NHS Constitution</w:t>
      </w:r>
    </w:p>
    <w:p w:rsidR="00B407A6" w:rsidRDefault="00B407A6">
      <w:pPr>
        <w:rPr>
          <w:sz w:val="24"/>
          <w:szCs w:val="24"/>
        </w:rPr>
      </w:pPr>
    </w:p>
    <w:p w:rsidR="00B407A6" w:rsidRPr="00905C15" w:rsidRDefault="00B407A6" w:rsidP="00B407A6">
      <w:pPr>
        <w:rPr>
          <w:sz w:val="24"/>
          <w:szCs w:val="24"/>
        </w:rPr>
      </w:pPr>
      <w:r w:rsidRPr="00905C15">
        <w:rPr>
          <w:sz w:val="24"/>
          <w:szCs w:val="24"/>
        </w:rPr>
        <w:t xml:space="preserve">UNISON has experienced considerable difficulty in obtaining information about </w:t>
      </w:r>
      <w:r w:rsidR="0096427F">
        <w:rPr>
          <w:sz w:val="24"/>
          <w:szCs w:val="24"/>
        </w:rPr>
        <w:t>plans</w:t>
      </w:r>
      <w:r w:rsidRPr="00905C15">
        <w:rPr>
          <w:sz w:val="24"/>
          <w:szCs w:val="24"/>
        </w:rPr>
        <w:t xml:space="preserve"> to set up subsidiaries, many of which </w:t>
      </w:r>
      <w:r>
        <w:rPr>
          <w:sz w:val="24"/>
          <w:szCs w:val="24"/>
        </w:rPr>
        <w:t>have been</w:t>
      </w:r>
      <w:r w:rsidRPr="00905C15">
        <w:rPr>
          <w:sz w:val="24"/>
          <w:szCs w:val="24"/>
        </w:rPr>
        <w:t xml:space="preserve"> progressed in secret wit</w:t>
      </w:r>
      <w:r>
        <w:rPr>
          <w:sz w:val="24"/>
          <w:szCs w:val="24"/>
        </w:rPr>
        <w:t>hout any staff consultation</w:t>
      </w:r>
      <w:r w:rsidRPr="00905C15">
        <w:rPr>
          <w:sz w:val="24"/>
          <w:szCs w:val="24"/>
        </w:rPr>
        <w:t xml:space="preserve">. </w:t>
      </w:r>
      <w:r w:rsidR="005A6B53">
        <w:rPr>
          <w:sz w:val="24"/>
          <w:szCs w:val="24"/>
        </w:rPr>
        <w:t>A</w:t>
      </w:r>
      <w:r w:rsidRPr="00905C15">
        <w:rPr>
          <w:sz w:val="24"/>
          <w:szCs w:val="24"/>
        </w:rPr>
        <w:t xml:space="preserve">ny trust considering </w:t>
      </w:r>
      <w:r>
        <w:rPr>
          <w:sz w:val="24"/>
          <w:szCs w:val="24"/>
        </w:rPr>
        <w:t xml:space="preserve">plans </w:t>
      </w:r>
      <w:r w:rsidR="0096427F">
        <w:rPr>
          <w:sz w:val="24"/>
          <w:szCs w:val="24"/>
        </w:rPr>
        <w:t>for</w:t>
      </w:r>
      <w:r w:rsidRPr="00905C15">
        <w:rPr>
          <w:sz w:val="24"/>
          <w:szCs w:val="24"/>
        </w:rPr>
        <w:t xml:space="preserve"> a subsidiary should be </w:t>
      </w:r>
      <w:r w:rsidR="005A6B53">
        <w:rPr>
          <w:sz w:val="24"/>
          <w:szCs w:val="24"/>
        </w:rPr>
        <w:t>expected</w:t>
      </w:r>
      <w:r w:rsidRPr="00905C15">
        <w:rPr>
          <w:sz w:val="24"/>
          <w:szCs w:val="24"/>
        </w:rPr>
        <w:t xml:space="preserve"> to </w:t>
      </w:r>
      <w:r w:rsidR="005A6B53">
        <w:rPr>
          <w:sz w:val="24"/>
          <w:szCs w:val="24"/>
        </w:rPr>
        <w:t xml:space="preserve">hold </w:t>
      </w:r>
      <w:r w:rsidRPr="00905C15">
        <w:rPr>
          <w:sz w:val="24"/>
          <w:szCs w:val="24"/>
        </w:rPr>
        <w:t>early and well-informed discussions</w:t>
      </w:r>
      <w:r w:rsidR="005A6B53">
        <w:rPr>
          <w:sz w:val="24"/>
          <w:szCs w:val="24"/>
        </w:rPr>
        <w:t xml:space="preserve"> with staff</w:t>
      </w:r>
      <w:r w:rsidRPr="00905C15">
        <w:rPr>
          <w:sz w:val="24"/>
          <w:szCs w:val="24"/>
        </w:rPr>
        <w:t xml:space="preserve">, as required </w:t>
      </w:r>
      <w:r w:rsidR="005A6B53">
        <w:rPr>
          <w:sz w:val="24"/>
          <w:szCs w:val="24"/>
        </w:rPr>
        <w:t>by</w:t>
      </w:r>
      <w:r w:rsidRPr="00905C15">
        <w:rPr>
          <w:sz w:val="24"/>
          <w:szCs w:val="24"/>
        </w:rPr>
        <w:t xml:space="preserve"> the </w:t>
      </w:r>
      <w:hyperlink r:id="rId8" w:history="1">
        <w:r w:rsidRPr="00905C15">
          <w:rPr>
            <w:rStyle w:val="Hyperlink"/>
            <w:sz w:val="24"/>
            <w:szCs w:val="24"/>
          </w:rPr>
          <w:t>NHS Constitution</w:t>
        </w:r>
      </w:hyperlink>
      <w:r>
        <w:rPr>
          <w:sz w:val="24"/>
          <w:szCs w:val="24"/>
        </w:rPr>
        <w:t xml:space="preserve"> which is now referred to explicitly in the guidance (page 20)</w:t>
      </w:r>
      <w:r w:rsidRPr="00905C15">
        <w:rPr>
          <w:sz w:val="24"/>
          <w:szCs w:val="24"/>
        </w:rPr>
        <w:t xml:space="preserve">. </w:t>
      </w:r>
    </w:p>
    <w:p w:rsidR="00B407A6" w:rsidRPr="00905C15" w:rsidRDefault="00B407A6">
      <w:pPr>
        <w:rPr>
          <w:sz w:val="24"/>
          <w:szCs w:val="24"/>
        </w:rPr>
      </w:pPr>
    </w:p>
    <w:p w:rsidR="00A27879" w:rsidRPr="00905C15" w:rsidRDefault="00A27879">
      <w:pPr>
        <w:rPr>
          <w:b/>
          <w:sz w:val="24"/>
          <w:szCs w:val="24"/>
        </w:rPr>
      </w:pPr>
      <w:r w:rsidRPr="00905C15">
        <w:rPr>
          <w:b/>
          <w:sz w:val="24"/>
          <w:szCs w:val="24"/>
        </w:rPr>
        <w:t>Tax avoidance</w:t>
      </w:r>
    </w:p>
    <w:p w:rsidR="00A27879" w:rsidRPr="00905C15" w:rsidRDefault="00A27879">
      <w:pPr>
        <w:rPr>
          <w:sz w:val="24"/>
          <w:szCs w:val="24"/>
        </w:rPr>
      </w:pPr>
    </w:p>
    <w:p w:rsidR="00A27879" w:rsidRPr="00905C15" w:rsidRDefault="00FC522E">
      <w:pPr>
        <w:rPr>
          <w:sz w:val="24"/>
          <w:szCs w:val="24"/>
        </w:rPr>
      </w:pPr>
      <w:r w:rsidRPr="00905C15">
        <w:rPr>
          <w:sz w:val="24"/>
          <w:szCs w:val="24"/>
        </w:rPr>
        <w:t xml:space="preserve">Many trusts that have recently set up subsidiaries have done so to benefit from paying reduced levels of VAT. </w:t>
      </w:r>
      <w:r w:rsidR="00712102" w:rsidRPr="00905C15">
        <w:rPr>
          <w:sz w:val="24"/>
          <w:szCs w:val="24"/>
        </w:rPr>
        <w:t xml:space="preserve">The guidance reiterates the government’s stated position that “tax avoidance arrangements should not be entered into under any circumstances” </w:t>
      </w:r>
      <w:r w:rsidRPr="00905C15">
        <w:rPr>
          <w:sz w:val="24"/>
          <w:szCs w:val="24"/>
        </w:rPr>
        <w:t xml:space="preserve">(page 6) but this has not previously proved sufficient to stop trusts from going down this route. However, the guidance does </w:t>
      </w:r>
      <w:r w:rsidR="000957BC">
        <w:rPr>
          <w:sz w:val="24"/>
          <w:szCs w:val="24"/>
        </w:rPr>
        <w:t>go further</w:t>
      </w:r>
      <w:r w:rsidRPr="00905C15">
        <w:rPr>
          <w:sz w:val="24"/>
          <w:szCs w:val="24"/>
        </w:rPr>
        <w:t xml:space="preserve"> by adding a more detailed expectation for trusts to base their plans on more than </w:t>
      </w:r>
      <w:r w:rsidR="000957BC">
        <w:rPr>
          <w:sz w:val="24"/>
          <w:szCs w:val="24"/>
        </w:rPr>
        <w:t xml:space="preserve">just </w:t>
      </w:r>
      <w:r w:rsidRPr="00905C15">
        <w:rPr>
          <w:sz w:val="24"/>
          <w:szCs w:val="24"/>
        </w:rPr>
        <w:t xml:space="preserve">tax avoidance: </w:t>
      </w:r>
      <w:r w:rsidR="00C1261F" w:rsidRPr="00905C15">
        <w:rPr>
          <w:sz w:val="24"/>
          <w:szCs w:val="24"/>
        </w:rPr>
        <w:t xml:space="preserve">it states that trusts should be clear in making the </w:t>
      </w:r>
      <w:r w:rsidR="00712102" w:rsidRPr="00905C15">
        <w:rPr>
          <w:sz w:val="24"/>
          <w:szCs w:val="24"/>
        </w:rPr>
        <w:t xml:space="preserve">business case </w:t>
      </w:r>
      <w:r w:rsidR="00C1261F" w:rsidRPr="00905C15">
        <w:rPr>
          <w:sz w:val="24"/>
          <w:szCs w:val="24"/>
        </w:rPr>
        <w:t>for a subsidiary “</w:t>
      </w:r>
      <w:r w:rsidR="00712102" w:rsidRPr="00905C15">
        <w:rPr>
          <w:sz w:val="24"/>
          <w:szCs w:val="24"/>
        </w:rPr>
        <w:t xml:space="preserve">that the commercial rationale </w:t>
      </w:r>
      <w:r w:rsidR="00C1261F" w:rsidRPr="00905C15">
        <w:rPr>
          <w:sz w:val="24"/>
          <w:szCs w:val="24"/>
        </w:rPr>
        <w:t>is</w:t>
      </w:r>
      <w:r w:rsidR="00712102" w:rsidRPr="00905C15">
        <w:rPr>
          <w:sz w:val="24"/>
          <w:szCs w:val="24"/>
        </w:rPr>
        <w:t xml:space="preserve"> not dependent on the subsidiary enabling a different VAT treatment from that of the current trust arrangements</w:t>
      </w:r>
      <w:r w:rsidR="00C1261F" w:rsidRPr="00905C15">
        <w:rPr>
          <w:sz w:val="24"/>
          <w:szCs w:val="24"/>
        </w:rPr>
        <w:t>” (page 13)</w:t>
      </w:r>
      <w:r w:rsidR="00712102" w:rsidRPr="00905C15">
        <w:rPr>
          <w:sz w:val="24"/>
          <w:szCs w:val="24"/>
        </w:rPr>
        <w:t>.</w:t>
      </w:r>
      <w:r w:rsidR="00433BD6" w:rsidRPr="00905C15">
        <w:rPr>
          <w:sz w:val="24"/>
          <w:szCs w:val="24"/>
        </w:rPr>
        <w:t xml:space="preserve"> </w:t>
      </w:r>
    </w:p>
    <w:p w:rsidR="00A27879" w:rsidRPr="00905C15" w:rsidRDefault="00A27879">
      <w:pPr>
        <w:rPr>
          <w:sz w:val="24"/>
          <w:szCs w:val="24"/>
        </w:rPr>
      </w:pPr>
    </w:p>
    <w:p w:rsidR="001F3E6C" w:rsidRDefault="001F3E6C">
      <w:pPr>
        <w:rPr>
          <w:b/>
          <w:sz w:val="24"/>
          <w:szCs w:val="24"/>
        </w:rPr>
      </w:pPr>
      <w:r>
        <w:rPr>
          <w:b/>
          <w:sz w:val="24"/>
          <w:szCs w:val="24"/>
        </w:rPr>
        <w:br w:type="page"/>
      </w:r>
    </w:p>
    <w:p w:rsidR="00A27879" w:rsidRPr="00905C15" w:rsidRDefault="00A27879">
      <w:pPr>
        <w:rPr>
          <w:b/>
          <w:sz w:val="24"/>
          <w:szCs w:val="24"/>
        </w:rPr>
      </w:pPr>
      <w:r w:rsidRPr="00905C15">
        <w:rPr>
          <w:b/>
          <w:sz w:val="24"/>
          <w:szCs w:val="24"/>
        </w:rPr>
        <w:lastRenderedPageBreak/>
        <w:t>Business case</w:t>
      </w:r>
    </w:p>
    <w:p w:rsidR="00A27879" w:rsidRPr="00905C15" w:rsidRDefault="00A27879">
      <w:pPr>
        <w:rPr>
          <w:sz w:val="24"/>
          <w:szCs w:val="24"/>
        </w:rPr>
      </w:pPr>
    </w:p>
    <w:p w:rsidR="00401014" w:rsidRPr="00905C15" w:rsidRDefault="00282814">
      <w:pPr>
        <w:rPr>
          <w:sz w:val="24"/>
          <w:szCs w:val="24"/>
        </w:rPr>
      </w:pPr>
      <w:r w:rsidRPr="00905C15">
        <w:rPr>
          <w:sz w:val="24"/>
          <w:szCs w:val="24"/>
        </w:rPr>
        <w:t xml:space="preserve">UNISON continues to offer assistance to branches when it comes to analysing trust business cases. </w:t>
      </w:r>
      <w:r w:rsidR="000957BC">
        <w:rPr>
          <w:sz w:val="24"/>
          <w:szCs w:val="24"/>
        </w:rPr>
        <w:t>M</w:t>
      </w:r>
      <w:r w:rsidR="00FC522E" w:rsidRPr="00905C15">
        <w:rPr>
          <w:sz w:val="24"/>
          <w:szCs w:val="24"/>
        </w:rPr>
        <w:t xml:space="preserve">any previous subsidiary plans have gone ahead on the basis of extremely flimsy cases, if they existed at all. The new guidance makes it </w:t>
      </w:r>
      <w:r w:rsidR="00C46CBA" w:rsidRPr="00905C15">
        <w:rPr>
          <w:sz w:val="24"/>
          <w:szCs w:val="24"/>
        </w:rPr>
        <w:t xml:space="preserve">a requirement for trusts to produce a business case for all subsidiary proposals. The financial element of the business case </w:t>
      </w:r>
      <w:r w:rsidR="001F3E6C">
        <w:rPr>
          <w:sz w:val="24"/>
          <w:szCs w:val="24"/>
        </w:rPr>
        <w:t>should</w:t>
      </w:r>
      <w:r w:rsidR="00C46CBA" w:rsidRPr="00905C15">
        <w:rPr>
          <w:sz w:val="24"/>
          <w:szCs w:val="24"/>
        </w:rPr>
        <w:t xml:space="preserve"> be underpinned by long-term projections which provide sufficient detail for </w:t>
      </w:r>
      <w:r w:rsidR="00CB74F4" w:rsidRPr="00905C15">
        <w:rPr>
          <w:sz w:val="24"/>
          <w:szCs w:val="24"/>
        </w:rPr>
        <w:t xml:space="preserve">the underlying </w:t>
      </w:r>
      <w:r w:rsidR="005C221C" w:rsidRPr="00905C15">
        <w:rPr>
          <w:sz w:val="24"/>
          <w:szCs w:val="24"/>
        </w:rPr>
        <w:t xml:space="preserve">financial </w:t>
      </w:r>
      <w:r w:rsidR="00CB74F4" w:rsidRPr="00905C15">
        <w:rPr>
          <w:sz w:val="24"/>
          <w:szCs w:val="24"/>
        </w:rPr>
        <w:t>assumption</w:t>
      </w:r>
      <w:r w:rsidR="005C221C" w:rsidRPr="00905C15">
        <w:rPr>
          <w:sz w:val="24"/>
          <w:szCs w:val="24"/>
        </w:rPr>
        <w:t>s</w:t>
      </w:r>
      <w:r w:rsidR="00CB74F4" w:rsidRPr="00905C15">
        <w:rPr>
          <w:sz w:val="24"/>
          <w:szCs w:val="24"/>
        </w:rPr>
        <w:t xml:space="preserve"> to be understood and for </w:t>
      </w:r>
      <w:r w:rsidR="005C221C" w:rsidRPr="00905C15">
        <w:rPr>
          <w:sz w:val="24"/>
          <w:szCs w:val="24"/>
        </w:rPr>
        <w:t>subsidiary proposals</w:t>
      </w:r>
      <w:r w:rsidR="00C46CBA" w:rsidRPr="00905C15">
        <w:rPr>
          <w:sz w:val="24"/>
          <w:szCs w:val="24"/>
        </w:rPr>
        <w:t xml:space="preserve"> to be compared with alternative</w:t>
      </w:r>
      <w:r w:rsidR="00CB74F4" w:rsidRPr="00905C15">
        <w:rPr>
          <w:sz w:val="24"/>
          <w:szCs w:val="24"/>
        </w:rPr>
        <w:t>s (pages 13-14).</w:t>
      </w:r>
      <w:r w:rsidR="00C46CBA" w:rsidRPr="00905C15">
        <w:rPr>
          <w:sz w:val="24"/>
          <w:szCs w:val="24"/>
        </w:rPr>
        <w:t xml:space="preserve"> </w:t>
      </w:r>
    </w:p>
    <w:p w:rsidR="00401014" w:rsidRPr="00905C15" w:rsidRDefault="00401014">
      <w:pPr>
        <w:rPr>
          <w:sz w:val="24"/>
          <w:szCs w:val="24"/>
        </w:rPr>
      </w:pPr>
    </w:p>
    <w:p w:rsidR="00905C15" w:rsidRDefault="00BF73BE">
      <w:pPr>
        <w:rPr>
          <w:sz w:val="24"/>
          <w:szCs w:val="24"/>
        </w:rPr>
      </w:pPr>
      <w:r w:rsidRPr="00905C15">
        <w:rPr>
          <w:sz w:val="24"/>
          <w:szCs w:val="24"/>
        </w:rPr>
        <w:t>The guidance states that the level of detail in the business case should, a</w:t>
      </w:r>
      <w:r w:rsidR="0091745A" w:rsidRPr="00905C15">
        <w:rPr>
          <w:sz w:val="24"/>
          <w:szCs w:val="24"/>
        </w:rPr>
        <w:t>s</w:t>
      </w:r>
      <w:r w:rsidRPr="00905C15">
        <w:rPr>
          <w:sz w:val="24"/>
          <w:szCs w:val="24"/>
        </w:rPr>
        <w:t xml:space="preserve"> a minimum, be sufficient to answer </w:t>
      </w:r>
      <w:r w:rsidR="0096427F">
        <w:rPr>
          <w:sz w:val="24"/>
          <w:szCs w:val="24"/>
        </w:rPr>
        <w:t>a long list of</w:t>
      </w:r>
      <w:r w:rsidRPr="00905C15">
        <w:rPr>
          <w:sz w:val="24"/>
          <w:szCs w:val="24"/>
        </w:rPr>
        <w:t xml:space="preserve"> questions </w:t>
      </w:r>
      <w:r w:rsidR="00401014" w:rsidRPr="00905C15">
        <w:rPr>
          <w:sz w:val="24"/>
          <w:szCs w:val="24"/>
        </w:rPr>
        <w:t xml:space="preserve">in </w:t>
      </w:r>
      <w:r w:rsidRPr="00905C15">
        <w:rPr>
          <w:sz w:val="24"/>
          <w:szCs w:val="24"/>
        </w:rPr>
        <w:t>Appendix 2</w:t>
      </w:r>
      <w:r w:rsidR="00401014" w:rsidRPr="00905C15">
        <w:rPr>
          <w:sz w:val="24"/>
          <w:szCs w:val="24"/>
        </w:rPr>
        <w:t xml:space="preserve"> (</w:t>
      </w:r>
      <w:r w:rsidRPr="00905C15">
        <w:rPr>
          <w:sz w:val="24"/>
          <w:szCs w:val="24"/>
        </w:rPr>
        <w:t>pages 19-22)</w:t>
      </w:r>
      <w:r w:rsidR="00401014" w:rsidRPr="00905C15">
        <w:rPr>
          <w:sz w:val="24"/>
          <w:szCs w:val="24"/>
        </w:rPr>
        <w:t xml:space="preserve">. </w:t>
      </w:r>
    </w:p>
    <w:p w:rsidR="00905C15" w:rsidRDefault="00905C15">
      <w:pPr>
        <w:rPr>
          <w:sz w:val="24"/>
          <w:szCs w:val="24"/>
        </w:rPr>
      </w:pPr>
    </w:p>
    <w:p w:rsidR="00BF73BE" w:rsidRPr="00905C15" w:rsidRDefault="00401014">
      <w:pPr>
        <w:rPr>
          <w:sz w:val="24"/>
          <w:szCs w:val="24"/>
        </w:rPr>
      </w:pPr>
      <w:r w:rsidRPr="00905C15">
        <w:rPr>
          <w:sz w:val="24"/>
          <w:szCs w:val="24"/>
        </w:rPr>
        <w:t xml:space="preserve">Some of the most </w:t>
      </w:r>
      <w:r w:rsidR="005C221C" w:rsidRPr="00905C15">
        <w:rPr>
          <w:sz w:val="24"/>
          <w:szCs w:val="24"/>
        </w:rPr>
        <w:t xml:space="preserve">important questions are </w:t>
      </w:r>
      <w:r w:rsidR="0096427F">
        <w:rPr>
          <w:sz w:val="24"/>
          <w:szCs w:val="24"/>
        </w:rPr>
        <w:t>as follows</w:t>
      </w:r>
      <w:r w:rsidR="005C221C" w:rsidRPr="00905C15">
        <w:rPr>
          <w:sz w:val="24"/>
          <w:szCs w:val="24"/>
        </w:rPr>
        <w:t>:</w:t>
      </w:r>
    </w:p>
    <w:p w:rsidR="00BF73BE" w:rsidRPr="00905C15" w:rsidRDefault="00BF73BE">
      <w:pPr>
        <w:rPr>
          <w:sz w:val="24"/>
          <w:szCs w:val="24"/>
        </w:rPr>
      </w:pPr>
    </w:p>
    <w:p w:rsidR="00A27879" w:rsidRPr="00905C15" w:rsidRDefault="002836FB"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BF73BE" w:rsidRPr="00905C15">
        <w:rPr>
          <w:rFonts w:ascii="Arial" w:hAnsi="Arial" w:cs="Arial"/>
          <w:sz w:val="24"/>
          <w:szCs w:val="24"/>
        </w:rPr>
        <w:t>Has there been a detailed options appraisal of the alternatives</w:t>
      </w:r>
      <w:r w:rsidR="0091745A" w:rsidRPr="00905C15">
        <w:rPr>
          <w:rFonts w:ascii="Arial" w:hAnsi="Arial" w:cs="Arial"/>
          <w:sz w:val="24"/>
          <w:szCs w:val="24"/>
        </w:rPr>
        <w:t xml:space="preserve"> for addressing these challenges</w:t>
      </w:r>
      <w:r w:rsidR="00BF73BE" w:rsidRPr="00905C15">
        <w:rPr>
          <w:rFonts w:ascii="Arial" w:hAnsi="Arial" w:cs="Arial"/>
          <w:sz w:val="24"/>
          <w:szCs w:val="24"/>
        </w:rPr>
        <w:t xml:space="preserve"> and is there a clear rationale for selecting the subsidiary </w:t>
      </w:r>
      <w:r w:rsidRPr="00905C15">
        <w:rPr>
          <w:rFonts w:ascii="Arial" w:hAnsi="Arial" w:cs="Arial"/>
          <w:sz w:val="24"/>
          <w:szCs w:val="24"/>
        </w:rPr>
        <w:t>transaction</w:t>
      </w:r>
      <w:r w:rsidR="00BF73BE" w:rsidRPr="00905C15">
        <w:rPr>
          <w:rFonts w:ascii="Arial" w:hAnsi="Arial" w:cs="Arial"/>
          <w:sz w:val="24"/>
          <w:szCs w:val="24"/>
        </w:rPr>
        <w:t>?</w:t>
      </w:r>
      <w:r w:rsidRPr="00905C15">
        <w:rPr>
          <w:rFonts w:ascii="Arial" w:hAnsi="Arial" w:cs="Arial"/>
          <w:sz w:val="24"/>
          <w:szCs w:val="24"/>
        </w:rPr>
        <w:t>”</w:t>
      </w:r>
    </w:p>
    <w:p w:rsidR="00BF73BE" w:rsidRPr="00905C15" w:rsidRDefault="002836FB"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BF73BE" w:rsidRPr="00905C15">
        <w:rPr>
          <w:rFonts w:ascii="Arial" w:hAnsi="Arial" w:cs="Arial"/>
          <w:sz w:val="24"/>
          <w:szCs w:val="24"/>
        </w:rPr>
        <w:t>Does the options appraisal consider the long-term environment and any potential changes</w:t>
      </w:r>
      <w:r w:rsidRPr="00905C15">
        <w:rPr>
          <w:rFonts w:ascii="Arial" w:hAnsi="Arial" w:cs="Arial"/>
          <w:sz w:val="24"/>
          <w:szCs w:val="24"/>
        </w:rPr>
        <w:t xml:space="preserve"> (eg cross-provider co-operation through sustainability and transformation partnerships)</w:t>
      </w:r>
      <w:r w:rsidR="00BF73BE" w:rsidRPr="00905C15">
        <w:rPr>
          <w:rFonts w:ascii="Arial" w:hAnsi="Arial" w:cs="Arial"/>
          <w:sz w:val="24"/>
          <w:szCs w:val="24"/>
        </w:rPr>
        <w:t>?</w:t>
      </w:r>
      <w:r w:rsidRPr="00905C15">
        <w:rPr>
          <w:rFonts w:ascii="Arial" w:hAnsi="Arial" w:cs="Arial"/>
          <w:sz w:val="24"/>
          <w:szCs w:val="24"/>
        </w:rPr>
        <w:t>”</w:t>
      </w:r>
    </w:p>
    <w:p w:rsidR="00BF73BE"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ED2590" w:rsidRPr="00905C15">
        <w:rPr>
          <w:rFonts w:ascii="Arial" w:hAnsi="Arial" w:cs="Arial"/>
          <w:sz w:val="24"/>
          <w:szCs w:val="24"/>
        </w:rPr>
        <w:t>Does this rationale set out why it is the best option for patients, the trust and the wider system?</w:t>
      </w:r>
      <w:r w:rsidRPr="00905C15">
        <w:rPr>
          <w:rFonts w:ascii="Arial" w:hAnsi="Arial" w:cs="Arial"/>
          <w:sz w:val="24"/>
          <w:szCs w:val="24"/>
        </w:rPr>
        <w:t>”</w:t>
      </w:r>
    </w:p>
    <w:p w:rsidR="002836FB"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2836FB" w:rsidRPr="00905C15">
        <w:rPr>
          <w:rFonts w:ascii="Arial" w:hAnsi="Arial" w:cs="Arial"/>
          <w:sz w:val="24"/>
          <w:szCs w:val="24"/>
        </w:rPr>
        <w:t>How is the trust board assured that the subsidiary will have the ability to attract and retain staff with the appropriate skills and experience</w:t>
      </w:r>
      <w:r w:rsidRPr="00905C15">
        <w:rPr>
          <w:rFonts w:ascii="Arial" w:hAnsi="Arial" w:cs="Arial"/>
          <w:sz w:val="24"/>
          <w:szCs w:val="24"/>
        </w:rPr>
        <w:t xml:space="preserve"> to deliver the service requirements </w:t>
      </w:r>
      <w:r w:rsidR="002836FB" w:rsidRPr="00905C15">
        <w:rPr>
          <w:rFonts w:ascii="Arial" w:hAnsi="Arial" w:cs="Arial"/>
          <w:sz w:val="24"/>
          <w:szCs w:val="24"/>
        </w:rPr>
        <w:t>both immediately and over the life of the business plan?</w:t>
      </w:r>
      <w:r w:rsidRPr="00905C15">
        <w:rPr>
          <w:rFonts w:ascii="Arial" w:hAnsi="Arial" w:cs="Arial"/>
          <w:sz w:val="24"/>
          <w:szCs w:val="24"/>
        </w:rPr>
        <w:t>”</w:t>
      </w:r>
    </w:p>
    <w:p w:rsidR="00ED2590"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ED2590" w:rsidRPr="00905C15">
        <w:rPr>
          <w:rFonts w:ascii="Arial" w:hAnsi="Arial" w:cs="Arial"/>
          <w:sz w:val="24"/>
          <w:szCs w:val="24"/>
        </w:rPr>
        <w:t>Does the business case outline a robust and comprehensive workforce strategy for the subsidiary?</w:t>
      </w:r>
      <w:r w:rsidRPr="00905C15">
        <w:rPr>
          <w:rFonts w:ascii="Arial" w:hAnsi="Arial" w:cs="Arial"/>
          <w:sz w:val="24"/>
          <w:szCs w:val="24"/>
        </w:rPr>
        <w:t>”</w:t>
      </w:r>
    </w:p>
    <w:p w:rsidR="00ED2590"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ED2590" w:rsidRPr="00905C15">
        <w:rPr>
          <w:rFonts w:ascii="Arial" w:hAnsi="Arial" w:cs="Arial"/>
          <w:sz w:val="24"/>
          <w:szCs w:val="24"/>
        </w:rPr>
        <w:t>Has the trust engaged staff in decisions that affect them and the services they provide as set out in the NHS Constitution?</w:t>
      </w:r>
      <w:r w:rsidRPr="00905C15">
        <w:rPr>
          <w:rFonts w:ascii="Arial" w:hAnsi="Arial" w:cs="Arial"/>
          <w:sz w:val="24"/>
          <w:szCs w:val="24"/>
        </w:rPr>
        <w:t>”</w:t>
      </w:r>
    </w:p>
    <w:p w:rsidR="002836FB"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2836FB" w:rsidRPr="00905C15">
        <w:rPr>
          <w:rFonts w:ascii="Arial" w:hAnsi="Arial" w:cs="Arial"/>
          <w:sz w:val="24"/>
          <w:szCs w:val="24"/>
        </w:rPr>
        <w:t>Does the business case outline plans to comply with any consultation requirements, including staff consultations?</w:t>
      </w:r>
      <w:r w:rsidRPr="00905C15">
        <w:rPr>
          <w:rFonts w:ascii="Arial" w:hAnsi="Arial" w:cs="Arial"/>
          <w:sz w:val="24"/>
          <w:szCs w:val="24"/>
        </w:rPr>
        <w:t>”</w:t>
      </w:r>
    </w:p>
    <w:p w:rsidR="002836FB"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2836FB" w:rsidRPr="00905C15">
        <w:rPr>
          <w:rFonts w:ascii="Arial" w:hAnsi="Arial" w:cs="Arial"/>
          <w:sz w:val="24"/>
          <w:szCs w:val="24"/>
        </w:rPr>
        <w:t>Have senior trust clinicians been involved appropriately in the decision-making process for the subsidiary transaction? Have they raised any concerns</w:t>
      </w:r>
      <w:r w:rsidRPr="00905C15">
        <w:rPr>
          <w:rFonts w:ascii="Arial" w:hAnsi="Arial" w:cs="Arial"/>
          <w:sz w:val="24"/>
          <w:szCs w:val="24"/>
        </w:rPr>
        <w:t xml:space="preserve"> in relation to the subsidiary transaction</w:t>
      </w:r>
      <w:r w:rsidR="002836FB" w:rsidRPr="00905C15">
        <w:rPr>
          <w:rFonts w:ascii="Arial" w:hAnsi="Arial" w:cs="Arial"/>
          <w:sz w:val="24"/>
          <w:szCs w:val="24"/>
        </w:rPr>
        <w:t xml:space="preserve"> and if so have these been addressed?</w:t>
      </w:r>
      <w:r w:rsidRPr="00905C15">
        <w:rPr>
          <w:rFonts w:ascii="Arial" w:hAnsi="Arial" w:cs="Arial"/>
          <w:sz w:val="24"/>
          <w:szCs w:val="24"/>
        </w:rPr>
        <w:t>”</w:t>
      </w:r>
    </w:p>
    <w:p w:rsidR="002836FB"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2836FB" w:rsidRPr="00905C15">
        <w:rPr>
          <w:rFonts w:ascii="Arial" w:hAnsi="Arial" w:cs="Arial"/>
          <w:sz w:val="24"/>
          <w:szCs w:val="24"/>
        </w:rPr>
        <w:t>Does the business plan demonstrate financial viability for both the trust and the subsidiary over the forecast period?</w:t>
      </w:r>
      <w:r w:rsidRPr="00905C15">
        <w:rPr>
          <w:rFonts w:ascii="Arial" w:hAnsi="Arial" w:cs="Arial"/>
          <w:sz w:val="24"/>
          <w:szCs w:val="24"/>
        </w:rPr>
        <w:t>”</w:t>
      </w:r>
    </w:p>
    <w:p w:rsidR="002836FB" w:rsidRPr="00905C15" w:rsidRDefault="0091745A" w:rsidP="00BF73BE">
      <w:pPr>
        <w:pStyle w:val="ListParagraph"/>
        <w:numPr>
          <w:ilvl w:val="0"/>
          <w:numId w:val="4"/>
        </w:numPr>
        <w:rPr>
          <w:rFonts w:ascii="Arial" w:hAnsi="Arial" w:cs="Arial"/>
          <w:sz w:val="24"/>
          <w:szCs w:val="24"/>
        </w:rPr>
      </w:pPr>
      <w:r w:rsidRPr="00905C15">
        <w:rPr>
          <w:rFonts w:ascii="Arial" w:hAnsi="Arial" w:cs="Arial"/>
          <w:sz w:val="24"/>
          <w:szCs w:val="24"/>
        </w:rPr>
        <w:t>“</w:t>
      </w:r>
      <w:r w:rsidR="002836FB" w:rsidRPr="00905C15">
        <w:rPr>
          <w:rFonts w:ascii="Arial" w:hAnsi="Arial" w:cs="Arial"/>
          <w:sz w:val="24"/>
          <w:szCs w:val="24"/>
        </w:rPr>
        <w:t>Is there a clear commercial strategy for the transaction that is not dependent on any VAT benefits associated with the transaction?</w:t>
      </w:r>
      <w:r w:rsidRPr="00905C15">
        <w:rPr>
          <w:rFonts w:ascii="Arial" w:hAnsi="Arial" w:cs="Arial"/>
          <w:sz w:val="24"/>
          <w:szCs w:val="24"/>
        </w:rPr>
        <w:t>”</w:t>
      </w:r>
    </w:p>
    <w:p w:rsidR="00A27879" w:rsidRPr="00905C15" w:rsidRDefault="00A27879">
      <w:pPr>
        <w:rPr>
          <w:sz w:val="24"/>
          <w:szCs w:val="24"/>
        </w:rPr>
      </w:pPr>
    </w:p>
    <w:p w:rsidR="00B407A6" w:rsidRDefault="005C221C" w:rsidP="00282814">
      <w:pPr>
        <w:rPr>
          <w:sz w:val="24"/>
          <w:szCs w:val="24"/>
        </w:rPr>
      </w:pPr>
      <w:r w:rsidRPr="00905C15">
        <w:rPr>
          <w:sz w:val="24"/>
          <w:szCs w:val="24"/>
        </w:rPr>
        <w:t>It is unlikely that any of the recently established subsidiaries would have been able to answer all of the</w:t>
      </w:r>
      <w:r w:rsidR="000957BC">
        <w:rPr>
          <w:sz w:val="24"/>
          <w:szCs w:val="24"/>
        </w:rPr>
        <w:t xml:space="preserve"> above</w:t>
      </w:r>
      <w:r w:rsidRPr="00905C15">
        <w:rPr>
          <w:sz w:val="24"/>
          <w:szCs w:val="24"/>
        </w:rPr>
        <w:t xml:space="preserve"> questions satisfactorily (and </w:t>
      </w:r>
      <w:r w:rsidR="000957BC">
        <w:rPr>
          <w:sz w:val="24"/>
          <w:szCs w:val="24"/>
        </w:rPr>
        <w:t>the guidance includes a further 30 questions on top of these</w:t>
      </w:r>
      <w:r w:rsidRPr="00905C15">
        <w:rPr>
          <w:sz w:val="24"/>
          <w:szCs w:val="24"/>
        </w:rPr>
        <w:t xml:space="preserve">). So it is important that trusts are reminded that they </w:t>
      </w:r>
      <w:r w:rsidR="001F3E6C">
        <w:rPr>
          <w:sz w:val="24"/>
          <w:szCs w:val="24"/>
        </w:rPr>
        <w:t>should</w:t>
      </w:r>
      <w:r w:rsidRPr="00905C15">
        <w:rPr>
          <w:sz w:val="24"/>
          <w:szCs w:val="24"/>
        </w:rPr>
        <w:t xml:space="preserve"> overcome these obstacles before proceeding with their plans.</w:t>
      </w:r>
      <w:r w:rsidR="00282814" w:rsidRPr="00905C15">
        <w:rPr>
          <w:sz w:val="24"/>
          <w:szCs w:val="24"/>
        </w:rPr>
        <w:t xml:space="preserve"> Where possible, branches should look to make a formal written response to the business case and to generate media opportunities around this. </w:t>
      </w:r>
    </w:p>
    <w:p w:rsidR="00B407A6" w:rsidRDefault="00B407A6" w:rsidP="00282814">
      <w:pPr>
        <w:rPr>
          <w:sz w:val="24"/>
          <w:szCs w:val="24"/>
        </w:rPr>
      </w:pPr>
    </w:p>
    <w:p w:rsidR="00282814" w:rsidRPr="00905C15" w:rsidRDefault="000957BC" w:rsidP="00282814">
      <w:pPr>
        <w:rPr>
          <w:sz w:val="24"/>
          <w:szCs w:val="24"/>
        </w:rPr>
      </w:pPr>
      <w:r>
        <w:rPr>
          <w:sz w:val="24"/>
          <w:szCs w:val="24"/>
        </w:rPr>
        <w:t>Branches</w:t>
      </w:r>
      <w:r w:rsidR="00282814" w:rsidRPr="00905C15">
        <w:rPr>
          <w:sz w:val="24"/>
          <w:szCs w:val="24"/>
        </w:rPr>
        <w:t xml:space="preserve"> should also </w:t>
      </w:r>
      <w:r>
        <w:rPr>
          <w:sz w:val="24"/>
          <w:szCs w:val="24"/>
        </w:rPr>
        <w:t xml:space="preserve">aim </w:t>
      </w:r>
      <w:r w:rsidR="00282814" w:rsidRPr="00905C15">
        <w:rPr>
          <w:sz w:val="24"/>
          <w:szCs w:val="24"/>
        </w:rPr>
        <w:t>to attend board meeting</w:t>
      </w:r>
      <w:r>
        <w:rPr>
          <w:sz w:val="24"/>
          <w:szCs w:val="24"/>
        </w:rPr>
        <w:t>s</w:t>
      </w:r>
      <w:r w:rsidR="00282814" w:rsidRPr="00905C15">
        <w:rPr>
          <w:sz w:val="24"/>
          <w:szCs w:val="24"/>
        </w:rPr>
        <w:t xml:space="preserve"> where any </w:t>
      </w:r>
      <w:r w:rsidR="00B407A6">
        <w:rPr>
          <w:sz w:val="24"/>
          <w:szCs w:val="24"/>
        </w:rPr>
        <w:t>business</w:t>
      </w:r>
      <w:r w:rsidR="00282814" w:rsidRPr="00905C15">
        <w:rPr>
          <w:sz w:val="24"/>
          <w:szCs w:val="24"/>
        </w:rPr>
        <w:t xml:space="preserve"> case is discussed and to contest any decisions to have such consideration in private. In many recent cases UNISON has been denied access to </w:t>
      </w:r>
      <w:r>
        <w:rPr>
          <w:sz w:val="24"/>
          <w:szCs w:val="24"/>
        </w:rPr>
        <w:t xml:space="preserve">the </w:t>
      </w:r>
      <w:r w:rsidR="00282814" w:rsidRPr="00905C15">
        <w:rPr>
          <w:sz w:val="24"/>
          <w:szCs w:val="24"/>
        </w:rPr>
        <w:t xml:space="preserve">business case on the false grounds that </w:t>
      </w:r>
      <w:r>
        <w:rPr>
          <w:sz w:val="24"/>
          <w:szCs w:val="24"/>
        </w:rPr>
        <w:t>it is</w:t>
      </w:r>
      <w:r w:rsidR="00282814" w:rsidRPr="00905C15">
        <w:rPr>
          <w:sz w:val="24"/>
          <w:szCs w:val="24"/>
        </w:rPr>
        <w:t xml:space="preserve"> commercially confidential. Since these cases must be prepared before any tender or other commercial process </w:t>
      </w:r>
      <w:r w:rsidR="00B407A6">
        <w:rPr>
          <w:sz w:val="24"/>
          <w:szCs w:val="24"/>
        </w:rPr>
        <w:t xml:space="preserve">can </w:t>
      </w:r>
      <w:r w:rsidR="00282814" w:rsidRPr="00905C15">
        <w:rPr>
          <w:sz w:val="24"/>
          <w:szCs w:val="24"/>
        </w:rPr>
        <w:t>begin</w:t>
      </w:r>
      <w:r>
        <w:rPr>
          <w:sz w:val="24"/>
          <w:szCs w:val="24"/>
        </w:rPr>
        <w:t>,</w:t>
      </w:r>
      <w:r w:rsidR="00282814" w:rsidRPr="00905C15">
        <w:rPr>
          <w:sz w:val="24"/>
          <w:szCs w:val="24"/>
        </w:rPr>
        <w:t xml:space="preserve"> this claim should be challenged immediately </w:t>
      </w:r>
      <w:r>
        <w:rPr>
          <w:sz w:val="24"/>
          <w:szCs w:val="24"/>
        </w:rPr>
        <w:t>so that a</w:t>
      </w:r>
      <w:r w:rsidR="00282814" w:rsidRPr="00905C15">
        <w:rPr>
          <w:sz w:val="24"/>
          <w:szCs w:val="24"/>
        </w:rPr>
        <w:t xml:space="preserve"> proper discussion of the plans</w:t>
      </w:r>
      <w:r>
        <w:rPr>
          <w:sz w:val="24"/>
          <w:szCs w:val="24"/>
        </w:rPr>
        <w:t xml:space="preserve"> can take place</w:t>
      </w:r>
      <w:r w:rsidR="00282814" w:rsidRPr="00905C15">
        <w:rPr>
          <w:sz w:val="24"/>
          <w:szCs w:val="24"/>
        </w:rPr>
        <w:t>.</w:t>
      </w:r>
    </w:p>
    <w:p w:rsidR="00282814" w:rsidRPr="00905C15" w:rsidRDefault="00282814">
      <w:pPr>
        <w:rPr>
          <w:sz w:val="24"/>
          <w:szCs w:val="24"/>
        </w:rPr>
      </w:pPr>
    </w:p>
    <w:p w:rsidR="0091745A" w:rsidRPr="00905C15" w:rsidRDefault="0091745A" w:rsidP="0091745A">
      <w:pPr>
        <w:rPr>
          <w:b/>
          <w:sz w:val="24"/>
          <w:szCs w:val="24"/>
        </w:rPr>
      </w:pPr>
      <w:r w:rsidRPr="00905C15">
        <w:rPr>
          <w:b/>
          <w:sz w:val="24"/>
          <w:szCs w:val="24"/>
        </w:rPr>
        <w:t>Use of private consultants</w:t>
      </w:r>
    </w:p>
    <w:p w:rsidR="0091745A" w:rsidRPr="00905C15" w:rsidRDefault="0091745A">
      <w:pPr>
        <w:rPr>
          <w:b/>
          <w:sz w:val="24"/>
          <w:szCs w:val="24"/>
        </w:rPr>
      </w:pPr>
    </w:p>
    <w:p w:rsidR="0091745A" w:rsidRPr="00905C15" w:rsidRDefault="005C221C" w:rsidP="0091745A">
      <w:pPr>
        <w:rPr>
          <w:sz w:val="24"/>
          <w:szCs w:val="24"/>
        </w:rPr>
      </w:pPr>
      <w:r w:rsidRPr="00905C15">
        <w:rPr>
          <w:sz w:val="24"/>
          <w:szCs w:val="24"/>
        </w:rPr>
        <w:t xml:space="preserve">Many </w:t>
      </w:r>
      <w:r w:rsidR="000957BC">
        <w:rPr>
          <w:sz w:val="24"/>
          <w:szCs w:val="24"/>
        </w:rPr>
        <w:t>trusts</w:t>
      </w:r>
      <w:r w:rsidRPr="00905C15">
        <w:rPr>
          <w:sz w:val="24"/>
          <w:szCs w:val="24"/>
        </w:rPr>
        <w:t xml:space="preserve"> </w:t>
      </w:r>
      <w:r w:rsidR="000957BC">
        <w:rPr>
          <w:sz w:val="24"/>
          <w:szCs w:val="24"/>
        </w:rPr>
        <w:t>have incurred eye-watering consultancy costs in the process of setting up subsidiaries</w:t>
      </w:r>
      <w:r w:rsidRPr="00905C15">
        <w:rPr>
          <w:sz w:val="24"/>
          <w:szCs w:val="24"/>
        </w:rPr>
        <w:t>. While the new guidance would not block trusts from seeking advice from elsewhere in the public sector, it does reiterate previous government guidance that “trusts should not spend money on private sector consultancy support in the development of tax avoidance arrangements as this represents active leakage from the healthcare system” (page 6).</w:t>
      </w:r>
    </w:p>
    <w:p w:rsidR="005C221C" w:rsidRPr="00905C15" w:rsidRDefault="005C221C" w:rsidP="0091745A">
      <w:pPr>
        <w:rPr>
          <w:sz w:val="24"/>
          <w:szCs w:val="24"/>
        </w:rPr>
      </w:pPr>
    </w:p>
    <w:p w:rsidR="005C221C" w:rsidRPr="00905C15" w:rsidRDefault="005C221C" w:rsidP="0091745A">
      <w:pPr>
        <w:rPr>
          <w:sz w:val="24"/>
          <w:szCs w:val="24"/>
        </w:rPr>
      </w:pPr>
      <w:r w:rsidRPr="00905C15">
        <w:rPr>
          <w:sz w:val="24"/>
          <w:szCs w:val="24"/>
        </w:rPr>
        <w:t xml:space="preserve">The various risks that trusts must </w:t>
      </w:r>
      <w:r w:rsidR="00F55A57" w:rsidRPr="00905C15">
        <w:rPr>
          <w:sz w:val="24"/>
          <w:szCs w:val="24"/>
        </w:rPr>
        <w:t xml:space="preserve">demonstrate they have considered </w:t>
      </w:r>
      <w:r w:rsidR="000957BC">
        <w:rPr>
          <w:sz w:val="24"/>
          <w:szCs w:val="24"/>
        </w:rPr>
        <w:t>(</w:t>
      </w:r>
      <w:r w:rsidR="00F55A57" w:rsidRPr="00905C15">
        <w:rPr>
          <w:sz w:val="24"/>
          <w:szCs w:val="24"/>
        </w:rPr>
        <w:t xml:space="preserve">as part of </w:t>
      </w:r>
      <w:r w:rsidRPr="00905C15">
        <w:rPr>
          <w:sz w:val="24"/>
          <w:szCs w:val="24"/>
        </w:rPr>
        <w:t>a board certification for NHS Improvement</w:t>
      </w:r>
      <w:r w:rsidR="000957BC">
        <w:rPr>
          <w:sz w:val="24"/>
          <w:szCs w:val="24"/>
        </w:rPr>
        <w:t>)</w:t>
      </w:r>
      <w:r w:rsidRPr="00905C15">
        <w:rPr>
          <w:sz w:val="24"/>
          <w:szCs w:val="24"/>
        </w:rPr>
        <w:t xml:space="preserve"> include the need for trusts to have </w:t>
      </w:r>
      <w:r w:rsidR="00F55A57" w:rsidRPr="00905C15">
        <w:rPr>
          <w:sz w:val="24"/>
          <w:szCs w:val="24"/>
        </w:rPr>
        <w:t>“</w:t>
      </w:r>
      <w:r w:rsidRPr="00905C15">
        <w:rPr>
          <w:sz w:val="24"/>
          <w:szCs w:val="24"/>
        </w:rPr>
        <w:t>conducted appropriate enquiry about the probity of any partners involved in the proposed subsidiary” and the related “reputational risk” (page 17)</w:t>
      </w:r>
      <w:r w:rsidR="00F55A57" w:rsidRPr="00905C15">
        <w:rPr>
          <w:sz w:val="24"/>
          <w:szCs w:val="24"/>
        </w:rPr>
        <w:t>. This may provide another route to challenge a trust that was intending to use consultants from the private sector.</w:t>
      </w:r>
    </w:p>
    <w:p w:rsidR="00FC2314" w:rsidRDefault="00FC2314">
      <w:pPr>
        <w:rPr>
          <w:sz w:val="24"/>
          <w:szCs w:val="24"/>
        </w:rPr>
      </w:pPr>
    </w:p>
    <w:p w:rsidR="000957BC" w:rsidRPr="00905C15" w:rsidRDefault="000957BC" w:rsidP="000957BC">
      <w:pPr>
        <w:rPr>
          <w:b/>
          <w:sz w:val="24"/>
          <w:szCs w:val="24"/>
        </w:rPr>
      </w:pPr>
      <w:r w:rsidRPr="00905C15">
        <w:rPr>
          <w:b/>
          <w:sz w:val="24"/>
          <w:szCs w:val="24"/>
        </w:rPr>
        <w:t>Additional requirements for non-foundation trusts</w:t>
      </w:r>
    </w:p>
    <w:p w:rsidR="000957BC" w:rsidRPr="00905C15" w:rsidRDefault="000957BC" w:rsidP="000957BC">
      <w:pPr>
        <w:rPr>
          <w:sz w:val="24"/>
          <w:szCs w:val="24"/>
        </w:rPr>
      </w:pPr>
    </w:p>
    <w:p w:rsidR="000957BC" w:rsidRPr="00905C15" w:rsidRDefault="0096427F" w:rsidP="000957BC">
      <w:pPr>
        <w:rPr>
          <w:sz w:val="24"/>
          <w:szCs w:val="24"/>
        </w:rPr>
      </w:pPr>
      <w:r>
        <w:rPr>
          <w:sz w:val="24"/>
          <w:szCs w:val="24"/>
        </w:rPr>
        <w:t>The guidance applies to both foundation trusts and non-foundation trusts. However, f</w:t>
      </w:r>
      <w:r w:rsidR="000957BC" w:rsidRPr="00905C15">
        <w:rPr>
          <w:sz w:val="24"/>
          <w:szCs w:val="24"/>
        </w:rPr>
        <w:t xml:space="preserve">or </w:t>
      </w:r>
      <w:r>
        <w:rPr>
          <w:sz w:val="24"/>
          <w:szCs w:val="24"/>
        </w:rPr>
        <w:t>non-</w:t>
      </w:r>
      <w:r w:rsidR="000957BC" w:rsidRPr="00905C15">
        <w:rPr>
          <w:sz w:val="24"/>
          <w:szCs w:val="24"/>
        </w:rPr>
        <w:t xml:space="preserve">foundation trusts there is </w:t>
      </w:r>
      <w:r>
        <w:rPr>
          <w:sz w:val="24"/>
          <w:szCs w:val="24"/>
        </w:rPr>
        <w:t xml:space="preserve">a reminder of the </w:t>
      </w:r>
      <w:r w:rsidR="000957BC" w:rsidRPr="00905C15">
        <w:rPr>
          <w:sz w:val="24"/>
          <w:szCs w:val="24"/>
        </w:rPr>
        <w:t>additional hurdle</w:t>
      </w:r>
      <w:r>
        <w:rPr>
          <w:sz w:val="24"/>
          <w:szCs w:val="24"/>
        </w:rPr>
        <w:t>s they face if attempting to establish a subsidiary. Th</w:t>
      </w:r>
      <w:r w:rsidR="000957BC" w:rsidRPr="00905C15">
        <w:rPr>
          <w:sz w:val="24"/>
          <w:szCs w:val="24"/>
        </w:rPr>
        <w:t xml:space="preserve">e legislation demands that the business case </w:t>
      </w:r>
      <w:r>
        <w:rPr>
          <w:sz w:val="24"/>
          <w:szCs w:val="24"/>
        </w:rPr>
        <w:t xml:space="preserve">of a non-foundation trust must </w:t>
      </w:r>
      <w:r w:rsidR="000957BC" w:rsidRPr="00905C15">
        <w:rPr>
          <w:sz w:val="24"/>
          <w:szCs w:val="24"/>
        </w:rPr>
        <w:t>demonstrate to the Secretary of State that their subsidiary will be income generating, and also that it “does not, to any significant extent, interfere with the performances of its functions or its obligations under NHS contracts” (page 5). Any non-foundation trust looking to set up a subsidiary should be reminded of these rules before they try to proceed.</w:t>
      </w:r>
    </w:p>
    <w:p w:rsidR="000957BC" w:rsidRPr="00905C15" w:rsidRDefault="000957BC">
      <w:pPr>
        <w:rPr>
          <w:sz w:val="24"/>
          <w:szCs w:val="24"/>
        </w:rPr>
      </w:pPr>
    </w:p>
    <w:p w:rsidR="00FC2314" w:rsidRPr="00905C15" w:rsidRDefault="00FC2314">
      <w:pPr>
        <w:rPr>
          <w:b/>
          <w:sz w:val="24"/>
          <w:szCs w:val="24"/>
        </w:rPr>
      </w:pPr>
      <w:r w:rsidRPr="00905C15">
        <w:rPr>
          <w:b/>
          <w:sz w:val="24"/>
          <w:szCs w:val="24"/>
        </w:rPr>
        <w:t>“Material” changes to existing subsidiaries</w:t>
      </w:r>
    </w:p>
    <w:p w:rsidR="00FC2314" w:rsidRPr="00905C15" w:rsidRDefault="00FC2314">
      <w:pPr>
        <w:rPr>
          <w:sz w:val="24"/>
          <w:szCs w:val="24"/>
        </w:rPr>
      </w:pPr>
    </w:p>
    <w:p w:rsidR="000E5E31" w:rsidRPr="00905C15" w:rsidRDefault="000E5E31">
      <w:pPr>
        <w:rPr>
          <w:sz w:val="24"/>
          <w:szCs w:val="24"/>
        </w:rPr>
      </w:pPr>
      <w:r w:rsidRPr="00905C15">
        <w:rPr>
          <w:sz w:val="24"/>
          <w:szCs w:val="24"/>
        </w:rPr>
        <w:t>The new guidance also applies to “material” changes to existing subsidiaries. What constitutes “material” will be determined by NHS Improvement and although they do not give an exact definition, they do state (</w:t>
      </w:r>
      <w:r w:rsidR="000957BC">
        <w:rPr>
          <w:sz w:val="24"/>
          <w:szCs w:val="24"/>
        </w:rPr>
        <w:t xml:space="preserve">on </w:t>
      </w:r>
      <w:r w:rsidRPr="00905C15">
        <w:rPr>
          <w:sz w:val="24"/>
          <w:szCs w:val="24"/>
        </w:rPr>
        <w:t xml:space="preserve">page 2) that: “Examples of changes that may be material include asset sales or transfers, and changes to the subsidiary’s risk profile including those to </w:t>
      </w:r>
      <w:r w:rsidRPr="00905C15">
        <w:rPr>
          <w:i/>
          <w:sz w:val="24"/>
          <w:szCs w:val="24"/>
        </w:rPr>
        <w:t>the terms and conditions of employment of staff</w:t>
      </w:r>
      <w:r w:rsidRPr="00905C15">
        <w:rPr>
          <w:sz w:val="24"/>
          <w:szCs w:val="24"/>
        </w:rPr>
        <w:t>, the ownership share of the subsidiary, or the scale or scope of the activities of the subsidiary.”</w:t>
      </w:r>
    </w:p>
    <w:p w:rsidR="000E5E31" w:rsidRPr="00905C15" w:rsidRDefault="000E5E31">
      <w:pPr>
        <w:rPr>
          <w:sz w:val="24"/>
          <w:szCs w:val="24"/>
        </w:rPr>
      </w:pPr>
    </w:p>
    <w:p w:rsidR="000E5E31" w:rsidRPr="00905C15" w:rsidRDefault="000E5E31" w:rsidP="000E5E31">
      <w:pPr>
        <w:rPr>
          <w:sz w:val="24"/>
          <w:szCs w:val="24"/>
        </w:rPr>
      </w:pPr>
      <w:r w:rsidRPr="00905C15">
        <w:rPr>
          <w:sz w:val="24"/>
          <w:szCs w:val="24"/>
        </w:rPr>
        <w:t xml:space="preserve">This means that any attempt by an existing subsidiary to alter staff terms and conditions should be considered a “material change” and therefore subject to the same requirements </w:t>
      </w:r>
      <w:r w:rsidR="000957BC">
        <w:rPr>
          <w:sz w:val="24"/>
          <w:szCs w:val="24"/>
        </w:rPr>
        <w:t>as a proposal for a new subsidiary, as o</w:t>
      </w:r>
      <w:r w:rsidRPr="00905C15">
        <w:rPr>
          <w:sz w:val="24"/>
          <w:szCs w:val="24"/>
        </w:rPr>
        <w:t xml:space="preserve">utlined above. </w:t>
      </w:r>
      <w:r w:rsidR="00F07093" w:rsidRPr="00905C15">
        <w:rPr>
          <w:sz w:val="24"/>
          <w:szCs w:val="24"/>
        </w:rPr>
        <w:t>Recruitment and retention are almost certain to suffer if terms and conditions are altered, so the hardest</w:t>
      </w:r>
      <w:r w:rsidRPr="00905C15">
        <w:rPr>
          <w:sz w:val="24"/>
          <w:szCs w:val="24"/>
        </w:rPr>
        <w:t xml:space="preserve"> question </w:t>
      </w:r>
      <w:r w:rsidR="000957BC">
        <w:rPr>
          <w:sz w:val="24"/>
          <w:szCs w:val="24"/>
        </w:rPr>
        <w:t xml:space="preserve">in the guidance </w:t>
      </w:r>
      <w:r w:rsidRPr="00905C15">
        <w:rPr>
          <w:sz w:val="24"/>
          <w:szCs w:val="24"/>
        </w:rPr>
        <w:t xml:space="preserve">for </w:t>
      </w:r>
      <w:r w:rsidR="00F07093" w:rsidRPr="00905C15">
        <w:rPr>
          <w:sz w:val="24"/>
          <w:szCs w:val="24"/>
        </w:rPr>
        <w:t>a trust</w:t>
      </w:r>
      <w:r w:rsidRPr="00905C15">
        <w:rPr>
          <w:sz w:val="24"/>
          <w:szCs w:val="24"/>
        </w:rPr>
        <w:t xml:space="preserve"> to answer in their business case </w:t>
      </w:r>
      <w:r w:rsidR="000957BC">
        <w:rPr>
          <w:sz w:val="24"/>
          <w:szCs w:val="24"/>
        </w:rPr>
        <w:t>is likely to be this one</w:t>
      </w:r>
      <w:r w:rsidR="00F07093" w:rsidRPr="00905C15">
        <w:rPr>
          <w:sz w:val="24"/>
          <w:szCs w:val="24"/>
        </w:rPr>
        <w:t xml:space="preserve">: </w:t>
      </w:r>
      <w:r w:rsidRPr="00905C15">
        <w:rPr>
          <w:sz w:val="24"/>
          <w:szCs w:val="24"/>
        </w:rPr>
        <w:t>“How is the trust board assured that the subsidiary will have the ability to attract and retain staff with the appropriate skills and experience to deliver the service requirements both immediately and over the life of the business plan?”</w:t>
      </w:r>
      <w:r w:rsidR="00F07093" w:rsidRPr="00905C15">
        <w:rPr>
          <w:sz w:val="24"/>
          <w:szCs w:val="24"/>
        </w:rPr>
        <w:t xml:space="preserve"> </w:t>
      </w:r>
    </w:p>
    <w:p w:rsidR="000E5E31" w:rsidRDefault="000E5E31">
      <w:pPr>
        <w:rPr>
          <w:sz w:val="24"/>
          <w:szCs w:val="24"/>
        </w:rPr>
      </w:pPr>
    </w:p>
    <w:p w:rsidR="0052744E" w:rsidRPr="0052744E" w:rsidRDefault="0052744E">
      <w:pPr>
        <w:rPr>
          <w:b/>
          <w:sz w:val="24"/>
          <w:szCs w:val="24"/>
        </w:rPr>
      </w:pPr>
      <w:r w:rsidRPr="0052744E">
        <w:rPr>
          <w:b/>
          <w:sz w:val="24"/>
          <w:szCs w:val="24"/>
        </w:rPr>
        <w:t>Further information</w:t>
      </w:r>
    </w:p>
    <w:p w:rsidR="0052744E" w:rsidRDefault="0052744E">
      <w:pPr>
        <w:rPr>
          <w:sz w:val="24"/>
          <w:szCs w:val="24"/>
        </w:rPr>
      </w:pPr>
    </w:p>
    <w:p w:rsidR="00905C15" w:rsidRDefault="0052744E">
      <w:pPr>
        <w:rPr>
          <w:sz w:val="24"/>
          <w:szCs w:val="24"/>
        </w:rPr>
      </w:pPr>
      <w:r>
        <w:rPr>
          <w:sz w:val="24"/>
          <w:szCs w:val="24"/>
        </w:rPr>
        <w:t xml:space="preserve">For more information and resources on UNISON’s campaigning in this area visit </w:t>
      </w:r>
    </w:p>
    <w:p w:rsidR="00905C15" w:rsidRDefault="002C7D34">
      <w:pPr>
        <w:rPr>
          <w:sz w:val="24"/>
          <w:szCs w:val="24"/>
        </w:rPr>
      </w:pPr>
      <w:hyperlink r:id="rId9" w:history="1">
        <w:r w:rsidR="0052744E" w:rsidRPr="0023619D">
          <w:rPr>
            <w:rStyle w:val="Hyperlink"/>
            <w:sz w:val="24"/>
            <w:szCs w:val="24"/>
          </w:rPr>
          <w:t>www.unison.org.uk/our-campaigns/say-no-2-subcos</w:t>
        </w:r>
      </w:hyperlink>
    </w:p>
    <w:p w:rsidR="0052744E" w:rsidRDefault="0052744E">
      <w:pPr>
        <w:rPr>
          <w:sz w:val="24"/>
          <w:szCs w:val="24"/>
        </w:rPr>
      </w:pPr>
    </w:p>
    <w:p w:rsidR="00905C15" w:rsidRPr="00905C15" w:rsidRDefault="00905C15" w:rsidP="00905C15">
      <w:pPr>
        <w:rPr>
          <w:b/>
          <w:i/>
        </w:rPr>
      </w:pPr>
      <w:r w:rsidRPr="00905C15">
        <w:rPr>
          <w:b/>
          <w:i/>
        </w:rPr>
        <w:t>UNISON Policy Unit</w:t>
      </w:r>
    </w:p>
    <w:p w:rsidR="000957BC" w:rsidRPr="00905C15" w:rsidRDefault="001F3E6C" w:rsidP="00905C15">
      <w:pPr>
        <w:rPr>
          <w:b/>
          <w:i/>
        </w:rPr>
      </w:pPr>
      <w:r>
        <w:rPr>
          <w:b/>
          <w:i/>
        </w:rPr>
        <w:t>Revised – August 2019</w:t>
      </w:r>
    </w:p>
    <w:sectPr w:rsidR="000957BC" w:rsidRPr="00905C15" w:rsidSect="00B407A6">
      <w:footerReference w:type="default" r:id="rId10"/>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25" w:rsidRDefault="00521725" w:rsidP="00A343EF">
      <w:r>
        <w:separator/>
      </w:r>
    </w:p>
  </w:endnote>
  <w:endnote w:type="continuationSeparator" w:id="0">
    <w:p w:rsidR="00521725" w:rsidRDefault="00521725" w:rsidP="00A34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134"/>
      <w:docPartObj>
        <w:docPartGallery w:val="Page Numbers (Bottom of Page)"/>
        <w:docPartUnique/>
      </w:docPartObj>
    </w:sdtPr>
    <w:sdtContent>
      <w:p w:rsidR="00A343EF" w:rsidRDefault="002C7D34">
        <w:pPr>
          <w:pStyle w:val="Footer"/>
          <w:jc w:val="center"/>
        </w:pPr>
        <w:fldSimple w:instr=" PAGE   \* MERGEFORMAT ">
          <w:r w:rsidR="00282BD5">
            <w:rPr>
              <w:noProof/>
            </w:rPr>
            <w:t>1</w:t>
          </w:r>
        </w:fldSimple>
      </w:p>
    </w:sdtContent>
  </w:sdt>
  <w:p w:rsidR="00A343EF" w:rsidRDefault="00A34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25" w:rsidRDefault="00521725" w:rsidP="00A343EF">
      <w:r>
        <w:separator/>
      </w:r>
    </w:p>
  </w:footnote>
  <w:footnote w:type="continuationSeparator" w:id="0">
    <w:p w:rsidR="00521725" w:rsidRDefault="00521725" w:rsidP="00A34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067"/>
    <w:multiLevelType w:val="hybridMultilevel"/>
    <w:tmpl w:val="C0701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B834B4"/>
    <w:multiLevelType w:val="hybridMultilevel"/>
    <w:tmpl w:val="21CAA8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
    <w:nsid w:val="7D557D11"/>
    <w:multiLevelType w:val="hybridMultilevel"/>
    <w:tmpl w:val="B6C2A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6818"/>
    <w:rsid w:val="00011CF4"/>
    <w:rsid w:val="000139A8"/>
    <w:rsid w:val="00013EB2"/>
    <w:rsid w:val="000163AC"/>
    <w:rsid w:val="00017ECB"/>
    <w:rsid w:val="00025C16"/>
    <w:rsid w:val="00025D13"/>
    <w:rsid w:val="000270A1"/>
    <w:rsid w:val="000308C4"/>
    <w:rsid w:val="00032907"/>
    <w:rsid w:val="00035EAD"/>
    <w:rsid w:val="00042447"/>
    <w:rsid w:val="0004575F"/>
    <w:rsid w:val="00046678"/>
    <w:rsid w:val="000476D0"/>
    <w:rsid w:val="000560A3"/>
    <w:rsid w:val="0006149F"/>
    <w:rsid w:val="000666DC"/>
    <w:rsid w:val="00067DFB"/>
    <w:rsid w:val="00075868"/>
    <w:rsid w:val="0007761E"/>
    <w:rsid w:val="00080CAA"/>
    <w:rsid w:val="000840AE"/>
    <w:rsid w:val="00084AA6"/>
    <w:rsid w:val="000957BC"/>
    <w:rsid w:val="00096C4C"/>
    <w:rsid w:val="000975F1"/>
    <w:rsid w:val="000A6187"/>
    <w:rsid w:val="000A7983"/>
    <w:rsid w:val="000C734E"/>
    <w:rsid w:val="000C74B3"/>
    <w:rsid w:val="000E4A22"/>
    <w:rsid w:val="000E5E31"/>
    <w:rsid w:val="000F7C4D"/>
    <w:rsid w:val="00103A78"/>
    <w:rsid w:val="00103F64"/>
    <w:rsid w:val="00111E7E"/>
    <w:rsid w:val="00112693"/>
    <w:rsid w:val="00116F5E"/>
    <w:rsid w:val="001271C4"/>
    <w:rsid w:val="00137013"/>
    <w:rsid w:val="001378B8"/>
    <w:rsid w:val="0014035F"/>
    <w:rsid w:val="001510CA"/>
    <w:rsid w:val="00155FB0"/>
    <w:rsid w:val="0016227B"/>
    <w:rsid w:val="00162508"/>
    <w:rsid w:val="001761A2"/>
    <w:rsid w:val="00180FE0"/>
    <w:rsid w:val="00182AF5"/>
    <w:rsid w:val="0018391A"/>
    <w:rsid w:val="00185340"/>
    <w:rsid w:val="00185DD0"/>
    <w:rsid w:val="0019086A"/>
    <w:rsid w:val="001A1ABD"/>
    <w:rsid w:val="001A6347"/>
    <w:rsid w:val="001A668C"/>
    <w:rsid w:val="001A72F1"/>
    <w:rsid w:val="001B5576"/>
    <w:rsid w:val="001C10C2"/>
    <w:rsid w:val="001C3844"/>
    <w:rsid w:val="001C3C4C"/>
    <w:rsid w:val="001D45D8"/>
    <w:rsid w:val="001D4DE5"/>
    <w:rsid w:val="001F3E6C"/>
    <w:rsid w:val="0020123C"/>
    <w:rsid w:val="002047E8"/>
    <w:rsid w:val="00204B84"/>
    <w:rsid w:val="00210353"/>
    <w:rsid w:val="00210DF7"/>
    <w:rsid w:val="00216505"/>
    <w:rsid w:val="00216742"/>
    <w:rsid w:val="0021769B"/>
    <w:rsid w:val="00234538"/>
    <w:rsid w:val="002403FF"/>
    <w:rsid w:val="00241CDB"/>
    <w:rsid w:val="00241F5E"/>
    <w:rsid w:val="00243B2A"/>
    <w:rsid w:val="00264A8A"/>
    <w:rsid w:val="0026676A"/>
    <w:rsid w:val="0027020E"/>
    <w:rsid w:val="002702CD"/>
    <w:rsid w:val="00274FAD"/>
    <w:rsid w:val="002774C9"/>
    <w:rsid w:val="002802A2"/>
    <w:rsid w:val="00282814"/>
    <w:rsid w:val="00282BD5"/>
    <w:rsid w:val="002836FB"/>
    <w:rsid w:val="00283CAD"/>
    <w:rsid w:val="00296B37"/>
    <w:rsid w:val="002A01A3"/>
    <w:rsid w:val="002B1D5B"/>
    <w:rsid w:val="002B2C85"/>
    <w:rsid w:val="002C09CC"/>
    <w:rsid w:val="002C2D2A"/>
    <w:rsid w:val="002C36EF"/>
    <w:rsid w:val="002C7D34"/>
    <w:rsid w:val="002D5CC4"/>
    <w:rsid w:val="002D6291"/>
    <w:rsid w:val="002D7045"/>
    <w:rsid w:val="002E12E7"/>
    <w:rsid w:val="002E3683"/>
    <w:rsid w:val="002E4956"/>
    <w:rsid w:val="002E53FC"/>
    <w:rsid w:val="002E5B9C"/>
    <w:rsid w:val="00303352"/>
    <w:rsid w:val="00303B7F"/>
    <w:rsid w:val="003076EF"/>
    <w:rsid w:val="00307E88"/>
    <w:rsid w:val="00313E08"/>
    <w:rsid w:val="003141CB"/>
    <w:rsid w:val="00317E50"/>
    <w:rsid w:val="00331DF3"/>
    <w:rsid w:val="0033238E"/>
    <w:rsid w:val="003520DE"/>
    <w:rsid w:val="00352B02"/>
    <w:rsid w:val="00373AB3"/>
    <w:rsid w:val="00375EB0"/>
    <w:rsid w:val="003860BB"/>
    <w:rsid w:val="00391B86"/>
    <w:rsid w:val="003A0A29"/>
    <w:rsid w:val="003A5E25"/>
    <w:rsid w:val="003A6D9E"/>
    <w:rsid w:val="003B1BAC"/>
    <w:rsid w:val="003B4B92"/>
    <w:rsid w:val="003C63A9"/>
    <w:rsid w:val="003D242B"/>
    <w:rsid w:val="003D4BB1"/>
    <w:rsid w:val="003D60C0"/>
    <w:rsid w:val="003D74CD"/>
    <w:rsid w:val="003E3757"/>
    <w:rsid w:val="003F0706"/>
    <w:rsid w:val="00401014"/>
    <w:rsid w:val="00401713"/>
    <w:rsid w:val="004039AD"/>
    <w:rsid w:val="00403F1C"/>
    <w:rsid w:val="00404B37"/>
    <w:rsid w:val="00405086"/>
    <w:rsid w:val="00406189"/>
    <w:rsid w:val="00406516"/>
    <w:rsid w:val="004107C0"/>
    <w:rsid w:val="00415AF8"/>
    <w:rsid w:val="00420CDA"/>
    <w:rsid w:val="00420CE6"/>
    <w:rsid w:val="00421578"/>
    <w:rsid w:val="00422EBB"/>
    <w:rsid w:val="00430FC2"/>
    <w:rsid w:val="004312D1"/>
    <w:rsid w:val="0043219E"/>
    <w:rsid w:val="00433BD6"/>
    <w:rsid w:val="00434F0C"/>
    <w:rsid w:val="004366C9"/>
    <w:rsid w:val="00436A8D"/>
    <w:rsid w:val="004378D9"/>
    <w:rsid w:val="00443D72"/>
    <w:rsid w:val="00445A8B"/>
    <w:rsid w:val="00445C60"/>
    <w:rsid w:val="00450095"/>
    <w:rsid w:val="00454213"/>
    <w:rsid w:val="004549F7"/>
    <w:rsid w:val="00461576"/>
    <w:rsid w:val="00464D20"/>
    <w:rsid w:val="00471851"/>
    <w:rsid w:val="00496123"/>
    <w:rsid w:val="004C38BE"/>
    <w:rsid w:val="004D18CC"/>
    <w:rsid w:val="004D31DF"/>
    <w:rsid w:val="004E1B34"/>
    <w:rsid w:val="004E480A"/>
    <w:rsid w:val="004E5834"/>
    <w:rsid w:val="004F5D7F"/>
    <w:rsid w:val="004F6E70"/>
    <w:rsid w:val="00502EDA"/>
    <w:rsid w:val="00521725"/>
    <w:rsid w:val="0052744E"/>
    <w:rsid w:val="00534FF8"/>
    <w:rsid w:val="00536D87"/>
    <w:rsid w:val="005459B3"/>
    <w:rsid w:val="00551D97"/>
    <w:rsid w:val="00553735"/>
    <w:rsid w:val="00553A0E"/>
    <w:rsid w:val="005560DE"/>
    <w:rsid w:val="00563F4C"/>
    <w:rsid w:val="00565ACC"/>
    <w:rsid w:val="00570FA0"/>
    <w:rsid w:val="0057168B"/>
    <w:rsid w:val="00576F0F"/>
    <w:rsid w:val="00587A54"/>
    <w:rsid w:val="00594FC0"/>
    <w:rsid w:val="005A0506"/>
    <w:rsid w:val="005A0A40"/>
    <w:rsid w:val="005A2E55"/>
    <w:rsid w:val="005A6547"/>
    <w:rsid w:val="005A6B53"/>
    <w:rsid w:val="005B17AD"/>
    <w:rsid w:val="005B68EE"/>
    <w:rsid w:val="005C0D02"/>
    <w:rsid w:val="005C1523"/>
    <w:rsid w:val="005C1F0A"/>
    <w:rsid w:val="005C221C"/>
    <w:rsid w:val="005D093F"/>
    <w:rsid w:val="005D2DF0"/>
    <w:rsid w:val="005D69B7"/>
    <w:rsid w:val="005E0321"/>
    <w:rsid w:val="005E75E9"/>
    <w:rsid w:val="00601F4C"/>
    <w:rsid w:val="0060576F"/>
    <w:rsid w:val="00610585"/>
    <w:rsid w:val="00614A4B"/>
    <w:rsid w:val="00616547"/>
    <w:rsid w:val="0061733D"/>
    <w:rsid w:val="00620298"/>
    <w:rsid w:val="00621C5D"/>
    <w:rsid w:val="00623EAA"/>
    <w:rsid w:val="006318D5"/>
    <w:rsid w:val="0065498B"/>
    <w:rsid w:val="0065703D"/>
    <w:rsid w:val="00662358"/>
    <w:rsid w:val="006671DD"/>
    <w:rsid w:val="00670784"/>
    <w:rsid w:val="006803CC"/>
    <w:rsid w:val="006837FD"/>
    <w:rsid w:val="0069114F"/>
    <w:rsid w:val="006939ED"/>
    <w:rsid w:val="00695E7D"/>
    <w:rsid w:val="00695F2C"/>
    <w:rsid w:val="006A44C6"/>
    <w:rsid w:val="006B1003"/>
    <w:rsid w:val="006C06AB"/>
    <w:rsid w:val="006D0CCF"/>
    <w:rsid w:val="006D445D"/>
    <w:rsid w:val="006E2B54"/>
    <w:rsid w:val="0070214A"/>
    <w:rsid w:val="00703243"/>
    <w:rsid w:val="00712102"/>
    <w:rsid w:val="007160A7"/>
    <w:rsid w:val="00724AAA"/>
    <w:rsid w:val="0072692A"/>
    <w:rsid w:val="007338B6"/>
    <w:rsid w:val="00736749"/>
    <w:rsid w:val="00742746"/>
    <w:rsid w:val="0075427C"/>
    <w:rsid w:val="00765467"/>
    <w:rsid w:val="00767984"/>
    <w:rsid w:val="0077178A"/>
    <w:rsid w:val="00776267"/>
    <w:rsid w:val="007862AA"/>
    <w:rsid w:val="007A0928"/>
    <w:rsid w:val="007B7254"/>
    <w:rsid w:val="007C22E9"/>
    <w:rsid w:val="007D4550"/>
    <w:rsid w:val="007E1C93"/>
    <w:rsid w:val="007F0288"/>
    <w:rsid w:val="007F292E"/>
    <w:rsid w:val="00800CF8"/>
    <w:rsid w:val="00811C1F"/>
    <w:rsid w:val="00814A5E"/>
    <w:rsid w:val="00816078"/>
    <w:rsid w:val="008203A7"/>
    <w:rsid w:val="00820513"/>
    <w:rsid w:val="008209C6"/>
    <w:rsid w:val="00825F9E"/>
    <w:rsid w:val="008274B8"/>
    <w:rsid w:val="0083783F"/>
    <w:rsid w:val="008416B7"/>
    <w:rsid w:val="008429CD"/>
    <w:rsid w:val="00846BB3"/>
    <w:rsid w:val="0085187D"/>
    <w:rsid w:val="00851885"/>
    <w:rsid w:val="008530AF"/>
    <w:rsid w:val="008547BC"/>
    <w:rsid w:val="00855DC8"/>
    <w:rsid w:val="0086158B"/>
    <w:rsid w:val="008642CE"/>
    <w:rsid w:val="00871C27"/>
    <w:rsid w:val="00884251"/>
    <w:rsid w:val="0088521C"/>
    <w:rsid w:val="008855A4"/>
    <w:rsid w:val="00886345"/>
    <w:rsid w:val="00896C06"/>
    <w:rsid w:val="00897A34"/>
    <w:rsid w:val="008A08FC"/>
    <w:rsid w:val="008A2026"/>
    <w:rsid w:val="008B380F"/>
    <w:rsid w:val="008D5507"/>
    <w:rsid w:val="008E2EA9"/>
    <w:rsid w:val="008E3988"/>
    <w:rsid w:val="008F20F6"/>
    <w:rsid w:val="008F3496"/>
    <w:rsid w:val="009017FD"/>
    <w:rsid w:val="0090289C"/>
    <w:rsid w:val="00905C15"/>
    <w:rsid w:val="0091745A"/>
    <w:rsid w:val="00920DBD"/>
    <w:rsid w:val="0092120A"/>
    <w:rsid w:val="00923F92"/>
    <w:rsid w:val="00924B1A"/>
    <w:rsid w:val="00925CB8"/>
    <w:rsid w:val="00936C11"/>
    <w:rsid w:val="009415A5"/>
    <w:rsid w:val="00943A0C"/>
    <w:rsid w:val="00945B17"/>
    <w:rsid w:val="00945B3F"/>
    <w:rsid w:val="00950058"/>
    <w:rsid w:val="0096427F"/>
    <w:rsid w:val="009670D1"/>
    <w:rsid w:val="00970B3D"/>
    <w:rsid w:val="00975E36"/>
    <w:rsid w:val="00981182"/>
    <w:rsid w:val="00983F5E"/>
    <w:rsid w:val="009910DD"/>
    <w:rsid w:val="00996563"/>
    <w:rsid w:val="009A1741"/>
    <w:rsid w:val="009A2468"/>
    <w:rsid w:val="009B09F9"/>
    <w:rsid w:val="009B2F83"/>
    <w:rsid w:val="009B30E3"/>
    <w:rsid w:val="009B4DA1"/>
    <w:rsid w:val="009C2F47"/>
    <w:rsid w:val="009C71B9"/>
    <w:rsid w:val="009C7651"/>
    <w:rsid w:val="009D34A9"/>
    <w:rsid w:val="009D7CDE"/>
    <w:rsid w:val="009E253B"/>
    <w:rsid w:val="009F6559"/>
    <w:rsid w:val="009F6AD1"/>
    <w:rsid w:val="009F6CC6"/>
    <w:rsid w:val="009F7181"/>
    <w:rsid w:val="00A011CD"/>
    <w:rsid w:val="00A033EE"/>
    <w:rsid w:val="00A0709B"/>
    <w:rsid w:val="00A22EC3"/>
    <w:rsid w:val="00A27879"/>
    <w:rsid w:val="00A343EF"/>
    <w:rsid w:val="00A35B0C"/>
    <w:rsid w:val="00A372DE"/>
    <w:rsid w:val="00A435E3"/>
    <w:rsid w:val="00A4524F"/>
    <w:rsid w:val="00A45369"/>
    <w:rsid w:val="00A53997"/>
    <w:rsid w:val="00A6144D"/>
    <w:rsid w:val="00A63862"/>
    <w:rsid w:val="00A67170"/>
    <w:rsid w:val="00A725A0"/>
    <w:rsid w:val="00A758CA"/>
    <w:rsid w:val="00A82974"/>
    <w:rsid w:val="00A82991"/>
    <w:rsid w:val="00A8457B"/>
    <w:rsid w:val="00A87548"/>
    <w:rsid w:val="00A978CA"/>
    <w:rsid w:val="00AA08EC"/>
    <w:rsid w:val="00AA558A"/>
    <w:rsid w:val="00AB508B"/>
    <w:rsid w:val="00AB6002"/>
    <w:rsid w:val="00AD0B2D"/>
    <w:rsid w:val="00AD29B3"/>
    <w:rsid w:val="00AD40AF"/>
    <w:rsid w:val="00AE6025"/>
    <w:rsid w:val="00AF5484"/>
    <w:rsid w:val="00B047F5"/>
    <w:rsid w:val="00B11DB4"/>
    <w:rsid w:val="00B13895"/>
    <w:rsid w:val="00B15206"/>
    <w:rsid w:val="00B1771B"/>
    <w:rsid w:val="00B2064C"/>
    <w:rsid w:val="00B24FF6"/>
    <w:rsid w:val="00B3464E"/>
    <w:rsid w:val="00B3649C"/>
    <w:rsid w:val="00B407A6"/>
    <w:rsid w:val="00B41434"/>
    <w:rsid w:val="00B43F96"/>
    <w:rsid w:val="00B4585E"/>
    <w:rsid w:val="00B45F53"/>
    <w:rsid w:val="00B46624"/>
    <w:rsid w:val="00B5195A"/>
    <w:rsid w:val="00B5474C"/>
    <w:rsid w:val="00B56738"/>
    <w:rsid w:val="00B56DBE"/>
    <w:rsid w:val="00B7700E"/>
    <w:rsid w:val="00B8220A"/>
    <w:rsid w:val="00B85690"/>
    <w:rsid w:val="00B905FC"/>
    <w:rsid w:val="00B9197D"/>
    <w:rsid w:val="00B94D82"/>
    <w:rsid w:val="00B95908"/>
    <w:rsid w:val="00BA4C5B"/>
    <w:rsid w:val="00BC321A"/>
    <w:rsid w:val="00BC3502"/>
    <w:rsid w:val="00BC3A8A"/>
    <w:rsid w:val="00BC5603"/>
    <w:rsid w:val="00BE000C"/>
    <w:rsid w:val="00BE6015"/>
    <w:rsid w:val="00BE6ECA"/>
    <w:rsid w:val="00BF08E6"/>
    <w:rsid w:val="00BF73BE"/>
    <w:rsid w:val="00C03EA4"/>
    <w:rsid w:val="00C1234E"/>
    <w:rsid w:val="00C1261F"/>
    <w:rsid w:val="00C13877"/>
    <w:rsid w:val="00C13BB4"/>
    <w:rsid w:val="00C328A3"/>
    <w:rsid w:val="00C329B2"/>
    <w:rsid w:val="00C332AE"/>
    <w:rsid w:val="00C436A5"/>
    <w:rsid w:val="00C46CBA"/>
    <w:rsid w:val="00C53015"/>
    <w:rsid w:val="00C55CEE"/>
    <w:rsid w:val="00C60767"/>
    <w:rsid w:val="00C719FB"/>
    <w:rsid w:val="00C75CFB"/>
    <w:rsid w:val="00C90DB8"/>
    <w:rsid w:val="00C956EF"/>
    <w:rsid w:val="00C972A2"/>
    <w:rsid w:val="00CA2E9B"/>
    <w:rsid w:val="00CA2EF1"/>
    <w:rsid w:val="00CB0A0C"/>
    <w:rsid w:val="00CB0D51"/>
    <w:rsid w:val="00CB2535"/>
    <w:rsid w:val="00CB312C"/>
    <w:rsid w:val="00CB3E0E"/>
    <w:rsid w:val="00CB4D31"/>
    <w:rsid w:val="00CB5893"/>
    <w:rsid w:val="00CB74F4"/>
    <w:rsid w:val="00CC2862"/>
    <w:rsid w:val="00CC2898"/>
    <w:rsid w:val="00CC481F"/>
    <w:rsid w:val="00CE030B"/>
    <w:rsid w:val="00CF7014"/>
    <w:rsid w:val="00D038BE"/>
    <w:rsid w:val="00D05E76"/>
    <w:rsid w:val="00D06818"/>
    <w:rsid w:val="00D12705"/>
    <w:rsid w:val="00D136E4"/>
    <w:rsid w:val="00D15568"/>
    <w:rsid w:val="00D20657"/>
    <w:rsid w:val="00D23055"/>
    <w:rsid w:val="00D23286"/>
    <w:rsid w:val="00D4229A"/>
    <w:rsid w:val="00D43B1B"/>
    <w:rsid w:val="00D50435"/>
    <w:rsid w:val="00D53BE3"/>
    <w:rsid w:val="00D60460"/>
    <w:rsid w:val="00D60A1C"/>
    <w:rsid w:val="00D72E29"/>
    <w:rsid w:val="00D76E16"/>
    <w:rsid w:val="00D80C82"/>
    <w:rsid w:val="00D84A49"/>
    <w:rsid w:val="00D9180C"/>
    <w:rsid w:val="00D93A12"/>
    <w:rsid w:val="00DA36F6"/>
    <w:rsid w:val="00DA3CB2"/>
    <w:rsid w:val="00DA7F8C"/>
    <w:rsid w:val="00DB05E0"/>
    <w:rsid w:val="00DB0657"/>
    <w:rsid w:val="00DB16F6"/>
    <w:rsid w:val="00DB3672"/>
    <w:rsid w:val="00DB62E1"/>
    <w:rsid w:val="00DC082B"/>
    <w:rsid w:val="00DC2BDB"/>
    <w:rsid w:val="00DC42B5"/>
    <w:rsid w:val="00DC55B0"/>
    <w:rsid w:val="00DC598C"/>
    <w:rsid w:val="00DD349A"/>
    <w:rsid w:val="00DD4F3F"/>
    <w:rsid w:val="00DD51E7"/>
    <w:rsid w:val="00DD5CE8"/>
    <w:rsid w:val="00DE1599"/>
    <w:rsid w:val="00DE6544"/>
    <w:rsid w:val="00DE7654"/>
    <w:rsid w:val="00DF7F11"/>
    <w:rsid w:val="00DF7F2D"/>
    <w:rsid w:val="00E24BA1"/>
    <w:rsid w:val="00E33CA6"/>
    <w:rsid w:val="00E6522F"/>
    <w:rsid w:val="00E713EB"/>
    <w:rsid w:val="00E7471E"/>
    <w:rsid w:val="00E84C0D"/>
    <w:rsid w:val="00E969E4"/>
    <w:rsid w:val="00E97452"/>
    <w:rsid w:val="00EA5E97"/>
    <w:rsid w:val="00EC54FC"/>
    <w:rsid w:val="00ED2590"/>
    <w:rsid w:val="00ED5101"/>
    <w:rsid w:val="00ED5227"/>
    <w:rsid w:val="00ED6627"/>
    <w:rsid w:val="00EF3860"/>
    <w:rsid w:val="00F07093"/>
    <w:rsid w:val="00F07274"/>
    <w:rsid w:val="00F12B50"/>
    <w:rsid w:val="00F12BEE"/>
    <w:rsid w:val="00F40101"/>
    <w:rsid w:val="00F41327"/>
    <w:rsid w:val="00F44B74"/>
    <w:rsid w:val="00F4650F"/>
    <w:rsid w:val="00F539C1"/>
    <w:rsid w:val="00F55A57"/>
    <w:rsid w:val="00F71ED7"/>
    <w:rsid w:val="00F759F7"/>
    <w:rsid w:val="00F81EEC"/>
    <w:rsid w:val="00F83303"/>
    <w:rsid w:val="00F92E46"/>
    <w:rsid w:val="00F9394A"/>
    <w:rsid w:val="00FA2669"/>
    <w:rsid w:val="00FA3166"/>
    <w:rsid w:val="00FB28F0"/>
    <w:rsid w:val="00FB5056"/>
    <w:rsid w:val="00FC130F"/>
    <w:rsid w:val="00FC2314"/>
    <w:rsid w:val="00FC522E"/>
    <w:rsid w:val="00FD0E3A"/>
    <w:rsid w:val="00FD54B0"/>
    <w:rsid w:val="00FD7CD9"/>
    <w:rsid w:val="00FE424D"/>
    <w:rsid w:val="00FF46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40"/>
    <w:pPr>
      <w:ind w:left="720"/>
    </w:pPr>
    <w:rPr>
      <w:rFonts w:ascii="Calibri" w:hAnsi="Calibri" w:cs="Calibri"/>
      <w:lang w:eastAsia="en-GB"/>
    </w:rPr>
  </w:style>
  <w:style w:type="character" w:styleId="Hyperlink">
    <w:name w:val="Hyperlink"/>
    <w:basedOn w:val="DefaultParagraphFont"/>
    <w:uiPriority w:val="99"/>
    <w:unhideWhenUsed/>
    <w:rsid w:val="00F759F7"/>
    <w:rPr>
      <w:color w:val="0000FF" w:themeColor="hyperlink"/>
      <w:u w:val="single"/>
    </w:rPr>
  </w:style>
  <w:style w:type="paragraph" w:styleId="Header">
    <w:name w:val="header"/>
    <w:basedOn w:val="Normal"/>
    <w:link w:val="HeaderChar"/>
    <w:uiPriority w:val="99"/>
    <w:semiHidden/>
    <w:unhideWhenUsed/>
    <w:rsid w:val="00A343EF"/>
    <w:pPr>
      <w:tabs>
        <w:tab w:val="center" w:pos="4513"/>
        <w:tab w:val="right" w:pos="9026"/>
      </w:tabs>
    </w:pPr>
  </w:style>
  <w:style w:type="character" w:customStyle="1" w:styleId="HeaderChar">
    <w:name w:val="Header Char"/>
    <w:basedOn w:val="DefaultParagraphFont"/>
    <w:link w:val="Header"/>
    <w:uiPriority w:val="99"/>
    <w:semiHidden/>
    <w:rsid w:val="00A343EF"/>
  </w:style>
  <w:style w:type="paragraph" w:styleId="Footer">
    <w:name w:val="footer"/>
    <w:basedOn w:val="Normal"/>
    <w:link w:val="FooterChar"/>
    <w:uiPriority w:val="99"/>
    <w:unhideWhenUsed/>
    <w:rsid w:val="00A343EF"/>
    <w:pPr>
      <w:tabs>
        <w:tab w:val="center" w:pos="4513"/>
        <w:tab w:val="right" w:pos="9026"/>
      </w:tabs>
    </w:pPr>
  </w:style>
  <w:style w:type="character" w:customStyle="1" w:styleId="FooterChar">
    <w:name w:val="Footer Char"/>
    <w:basedOn w:val="DefaultParagraphFont"/>
    <w:link w:val="Footer"/>
    <w:uiPriority w:val="99"/>
    <w:rsid w:val="00A343EF"/>
  </w:style>
  <w:style w:type="character" w:styleId="FollowedHyperlink">
    <w:name w:val="FollowedHyperlink"/>
    <w:basedOn w:val="DefaultParagraphFont"/>
    <w:uiPriority w:val="99"/>
    <w:semiHidden/>
    <w:unhideWhenUsed/>
    <w:rsid w:val="005A6B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0508837">
      <w:bodyDiv w:val="1"/>
      <w:marLeft w:val="0"/>
      <w:marRight w:val="0"/>
      <w:marTop w:val="0"/>
      <w:marBottom w:val="0"/>
      <w:divBdr>
        <w:top w:val="none" w:sz="0" w:space="0" w:color="auto"/>
        <w:left w:val="none" w:sz="0" w:space="0" w:color="auto"/>
        <w:bottom w:val="none" w:sz="0" w:space="0" w:color="auto"/>
        <w:right w:val="none" w:sz="0" w:space="0" w:color="auto"/>
      </w:divBdr>
    </w:div>
    <w:div w:id="18591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3" Type="http://schemas.openxmlformats.org/officeDocument/2006/relationships/settings" Target="settings.xml"/><Relationship Id="rId7" Type="http://schemas.openxmlformats.org/officeDocument/2006/relationships/hyperlink" Target="https://improvement.nhs.uk/documents/3509/Addendum_to_transactions_guidance_FINAL_CORRECT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son.org.uk/our-campaigns/say-no-2-sub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Bea Adi</cp:lastModifiedBy>
  <cp:revision>2</cp:revision>
  <cp:lastPrinted>2018-12-12T12:45:00Z</cp:lastPrinted>
  <dcterms:created xsi:type="dcterms:W3CDTF">2019-08-13T09:57:00Z</dcterms:created>
  <dcterms:modified xsi:type="dcterms:W3CDTF">2019-08-13T09:57:00Z</dcterms:modified>
</cp:coreProperties>
</file>